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R4-2514277</w:t>
      </w:r>
      <w:bookmarkStart w:id="26" w:name="_GoBack"/>
      <w:bookmarkEnd w:id="26"/>
      <w:r>
        <w:rPr>
          <w:rFonts w:hint="eastAsia" w:ascii="Arial" w:hAnsi="Arial" w:cs="Arial"/>
          <w:b/>
          <w:sz w:val="24"/>
          <w:szCs w:val="24"/>
        </w:rPr>
        <w:t xml:space="preserve">                        </w:t>
      </w:r>
    </w:p>
    <w:p w14:paraId="44C8315F">
      <w:pPr>
        <w:jc w:val="left"/>
        <w:rPr>
          <w:rFonts w:hint="eastAsia" w:ascii="Arial" w:hAnsi="Arial" w:eastAsia="MS Mincho" w:cs="Arial"/>
          <w:b/>
          <w:kern w:val="2"/>
          <w:sz w:val="24"/>
          <w:szCs w:val="24"/>
          <w:lang w:val="en-US" w:eastAsia="zh-CN" w:bidi="ar-SA"/>
        </w:rPr>
      </w:pPr>
      <w:r>
        <w:rPr>
          <w:rFonts w:ascii="Arial" w:hAnsi="Arial" w:cs="Arial"/>
          <w:b/>
          <w:sz w:val="24"/>
          <w:szCs w:val="24"/>
          <w:lang w:eastAsia="zh-CN"/>
        </w:rPr>
        <w:t>Prague, Czech Republic, Oct. 13-17, 2025</w:t>
      </w:r>
    </w:p>
    <w:p w14:paraId="7F6FBFE8">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7.11.3</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769FA622">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Rel-20 A-IoT coexistence study</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79E74C05">
      <w:pPr>
        <w:tabs>
          <w:tab w:val="left" w:pos="2127"/>
        </w:tabs>
        <w:spacing w:after="0"/>
        <w:rPr>
          <w:rFonts w:hint="default"/>
          <w:lang w:val="en-US" w:eastAsia="zh-CN"/>
        </w:rPr>
      </w:pPr>
      <w:r>
        <w:rPr>
          <w:rFonts w:hint="eastAsia"/>
          <w:lang w:val="en-US" w:eastAsia="zh-CN"/>
        </w:rPr>
        <w:t>In the RAN#108 meeting, a New SID on Rel-20 enhancements for solutions for Ambient IoT (Internet of Things) in NR</w:t>
      </w:r>
      <w:r>
        <w:rPr>
          <w:rFonts w:hint="eastAsia"/>
          <w:sz w:val="20"/>
          <w:szCs w:val="20"/>
          <w:lang w:val="en-US" w:eastAsia="zh-CN"/>
        </w:rPr>
        <w:t xml:space="preserve"> outdoor for active devices [1] was</w:t>
      </w:r>
      <w:r>
        <w:rPr>
          <w:rFonts w:hint="eastAsia"/>
          <w:lang w:val="en-US" w:eastAsia="zh-CN"/>
        </w:rPr>
        <w:t xml:space="preserve"> approved. In this contribution, we would like to share our initial analysis for this SID.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92EDF13">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Assumption that A-IoT BS readers are deployed on the same sites as existing outdoor NR macro BSs.</w:t>
            </w:r>
          </w:p>
          <w:p w14:paraId="2630AA34">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FR1 licensed spectrum in FDD in-band to NR and in standalone bands, with R2D in DL spectrum and D2R in UL spectrum.</w:t>
            </w:r>
          </w:p>
          <w:p w14:paraId="6C17FD6D">
            <w:pPr>
              <w:keepNext w:val="0"/>
              <w:keepLines w:val="0"/>
              <w:suppressLineNumbers w:val="0"/>
              <w:spacing w:before="80" w:beforeAutospacing="0" w:after="80" w:afterAutospacing="0"/>
              <w:ind w:left="360" w:right="0"/>
              <w:rPr>
                <w:rFonts w:hint="default" w:eastAsia="等线"/>
              </w:rPr>
            </w:pPr>
          </w:p>
          <w:p w14:paraId="43799004">
            <w:pPr>
              <w:keepNext w:val="0"/>
              <w:keepLines w:val="0"/>
              <w:suppressLineNumbers w:val="0"/>
              <w:spacing w:before="80" w:beforeAutospacing="0" w:after="80" w:afterAutospacing="0"/>
              <w:ind w:left="360" w:right="0"/>
              <w:rPr>
                <w:rFonts w:hint="default" w:eastAsia="等线"/>
              </w:rPr>
            </w:pPr>
            <w:r>
              <w:rPr>
                <w:rFonts w:hint="default" w:eastAsia="等线"/>
              </w:rPr>
              <w:t>This objective includes:</w:t>
            </w:r>
          </w:p>
          <w:p w14:paraId="2996B1D6">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RAN1-led</w:t>
            </w:r>
          </w:p>
          <w:p w14:paraId="1531240E">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Study necessary and feasible changes to the Rel-19 air interface to support the above scenarios</w:t>
            </w:r>
          </w:p>
          <w:p w14:paraId="1940E13D">
            <w:pPr>
              <w:keepNext w:val="0"/>
              <w:keepLines w:val="0"/>
              <w:numPr>
                <w:ilvl w:val="1"/>
                <w:numId w:val="2"/>
              </w:numPr>
              <w:suppressLineNumbers w:val="0"/>
              <w:spacing w:before="80" w:beforeAutospacing="0" w:after="80" w:afterAutospacing="0"/>
              <w:ind w:right="0"/>
              <w:rPr>
                <w:rFonts w:hint="default" w:eastAsia="等线"/>
              </w:rPr>
            </w:pPr>
            <w:r>
              <w:rPr>
                <w:rFonts w:hint="eastAsia" w:eastAsia="等线"/>
              </w:rPr>
              <w:t>A</w:t>
            </w:r>
            <w:r>
              <w:rPr>
                <w:rFonts w:hint="default" w:eastAsia="等线"/>
              </w:rPr>
              <w:t>ir interface for device 2b/C studied for outdoor will be reused for supporting device 2b/C in indoor scenarios</w:t>
            </w:r>
          </w:p>
          <w:p w14:paraId="690DA4D1">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Study applicability and necessity of Device 2b and Device C to the above scenarios, assuming similar device architectures for Device 2b and Device C.</w:t>
            </w:r>
          </w:p>
          <w:p w14:paraId="4B78E6F4">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 xml:space="preserve">While providing clear differentiation with existing 3GPP LPWA IoT technology and the features of 6G relevant to IoT, study outcomes should include </w:t>
            </w:r>
            <w:r>
              <w:rPr>
                <w:rFonts w:hint="default"/>
              </w:rPr>
              <w:t>achievable cell edge data rate assuming</w:t>
            </w:r>
          </w:p>
          <w:p w14:paraId="7840F03C">
            <w:pPr>
              <w:keepNext w:val="0"/>
              <w:keepLines w:val="0"/>
              <w:numPr>
                <w:ilvl w:val="1"/>
                <w:numId w:val="2"/>
              </w:numPr>
              <w:suppressLineNumbers w:val="0"/>
              <w:spacing w:before="80" w:beforeAutospacing="0" w:after="80" w:afterAutospacing="0"/>
              <w:ind w:right="0"/>
              <w:rPr>
                <w:rFonts w:hint="default" w:eastAsia="等线"/>
                <w:highlight w:val="green"/>
              </w:rPr>
            </w:pPr>
            <w:r>
              <w:rPr>
                <w:rFonts w:hint="default" w:eastAsia="等线"/>
                <w:highlight w:val="green"/>
              </w:rPr>
              <w:t>Maximum distance between Reader and Device of 50-500 m</w:t>
            </w:r>
          </w:p>
          <w:p w14:paraId="6E4D2694">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Maximum transmit power between -3 dBm and +5 dBm for device C</w:t>
            </w:r>
          </w:p>
          <w:p w14:paraId="20CDF47A">
            <w:pPr>
              <w:keepNext w:val="0"/>
              <w:keepLines w:val="0"/>
              <w:numPr>
                <w:ilvl w:val="2"/>
                <w:numId w:val="2"/>
              </w:numPr>
              <w:suppressLineNumbers w:val="0"/>
              <w:spacing w:before="80" w:beforeAutospacing="0" w:after="80" w:afterAutospacing="0"/>
              <w:ind w:left="2694" w:right="0" w:hanging="354"/>
              <w:rPr>
                <w:rFonts w:hint="default" w:eastAsia="等线"/>
              </w:rPr>
            </w:pPr>
            <w:r>
              <w:rPr>
                <w:rFonts w:hint="default" w:eastAsia="等线"/>
              </w:rPr>
              <w:t>RAN1 to recommend feasible values within this range</w:t>
            </w:r>
          </w:p>
          <w:p w14:paraId="1828B7C7">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Maximum transmit power of -20 dBm and -10 dBm for device 2b</w:t>
            </w:r>
          </w:p>
          <w:p w14:paraId="6D1EFD65">
            <w:pPr>
              <w:keepNext w:val="0"/>
              <w:keepLines w:val="0"/>
              <w:suppressLineNumbers w:val="0"/>
              <w:spacing w:before="80" w:beforeAutospacing="0" w:after="80" w:afterAutospacing="0"/>
              <w:ind w:left="1440" w:right="0"/>
              <w:rPr>
                <w:rFonts w:hint="default" w:eastAsia="等线"/>
              </w:rPr>
            </w:pPr>
            <w:r>
              <w:rPr>
                <w:rFonts w:hint="default"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Define necessary further evaluation assumptions of deployment scenarios for coverage and coexistence evaluations.</w:t>
            </w:r>
          </w:p>
          <w:p w14:paraId="7057FB8B">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Define link budget calculation for coverage.</w:t>
            </w:r>
          </w:p>
          <w:p w14:paraId="7A59EE31">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RAN4-led</w:t>
            </w:r>
          </w:p>
          <w:p w14:paraId="6713C0D0">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Study coexistence between Device 2b/Device C and NR/LTE in the above outdoor scenarios.</w:t>
            </w:r>
          </w:p>
          <w:p w14:paraId="7BD8E4DE">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Use band n8 as an example band.</w:t>
            </w:r>
          </w:p>
          <w:p w14:paraId="42720EBC">
            <w:pPr>
              <w:keepNext w:val="0"/>
              <w:keepLines w:val="0"/>
              <w:suppressLineNumbers w:val="0"/>
              <w:spacing w:before="80" w:beforeAutospacing="0" w:after="80" w:afterAutospacing="0"/>
              <w:ind w:left="0" w:right="0" w:firstLine="357"/>
              <w:rPr>
                <w:rFonts w:hint="default" w:eastAsia="宋体"/>
                <w:lang w:val="en-US" w:eastAsia="zh-CN"/>
              </w:rPr>
            </w:pPr>
            <w:r>
              <w:rPr>
                <w:rFonts w:hint="default" w:eastAsia="等线"/>
              </w:rPr>
              <w:t>NOTE: Strive to minimize evaluation cases in RAN1 and RAN4.</w:t>
            </w:r>
          </w:p>
        </w:tc>
      </w:tr>
    </w:tbl>
    <w:p w14:paraId="3D94C673">
      <w:pPr>
        <w:tabs>
          <w:tab w:val="left" w:pos="2127"/>
        </w:tabs>
        <w:spacing w:after="0"/>
        <w:rPr>
          <w:rFonts w:hint="default" w:eastAsia="宋体"/>
          <w:lang w:val="en-US" w:eastAsia="zh-CN"/>
        </w:rPr>
      </w:pPr>
    </w:p>
    <w:p w14:paraId="008DBA85">
      <w:pPr>
        <w:pStyle w:val="58"/>
        <w:tabs>
          <w:tab w:val="left" w:pos="567"/>
          <w:tab w:val="clear" w:pos="1985"/>
        </w:tabs>
        <w:adjustRightInd w:val="0"/>
        <w:ind w:left="510" w:hanging="510"/>
        <w:rPr>
          <w:rFonts w:eastAsia="Times New Roman"/>
        </w:rPr>
      </w:pPr>
      <w:bookmarkStart w:id="1" w:name="OLE_LINK14"/>
      <w:bookmarkStart w:id="2" w:name="OLE_LINK13"/>
      <w:bookmarkStart w:id="3" w:name="OLE_LINK20"/>
      <w:bookmarkStart w:id="4" w:name="OLE_LINK10"/>
      <w:r>
        <w:rPr>
          <w:rFonts w:hint="eastAsia"/>
          <w:lang w:val="en-US" w:eastAsia="zh-CN"/>
        </w:rPr>
        <w:t>Discussion</w:t>
      </w:r>
      <w:r>
        <w:rPr>
          <w:rFonts w:hint="eastAsia" w:eastAsia="Times New Roman"/>
        </w:rPr>
        <w:t xml:space="preserve"> </w:t>
      </w:r>
    </w:p>
    <w:p w14:paraId="4974290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7370A3A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2.1. Coexistence scenarios for Rel-20 A-IoT study</w:t>
      </w:r>
    </w:p>
    <w:p w14:paraId="7D43A403">
      <w:pPr>
        <w:numPr>
          <w:ilvl w:val="0"/>
          <w:numId w:val="0"/>
        </w:numPr>
        <w:tabs>
          <w:tab w:val="left" w:pos="2127"/>
        </w:tabs>
        <w:spacing w:after="0"/>
        <w:jc w:val="left"/>
        <w:rPr>
          <w:rFonts w:hint="default"/>
          <w:lang w:val="en-US" w:eastAsia="zh-CN"/>
        </w:rPr>
      </w:pPr>
      <w:r>
        <w:rPr>
          <w:rFonts w:hint="eastAsia"/>
          <w:lang w:val="en-US" w:eastAsia="zh-CN"/>
        </w:rPr>
        <w:t>As mentioned in the SID, it is clearly stated that in-band operation and standalone operation should be considered which is similar as Rel-13NB-IoT study. As shown in Figure 2.1-1, for DL in-band operation case for A-IoT deployment, since the R2D signal in the baseband is expected to be generated with DFT-s-OFDM method in the downlink carrier which will make the R2D signal to be orthogonal with other NR DL signal. In other words, from our understanding, it is not necessary to conduct the coexistence study for the following case as shown in Figure 2.1-1.</w:t>
      </w:r>
    </w:p>
    <w:p w14:paraId="5AA667A6">
      <w:pPr>
        <w:numPr>
          <w:ilvl w:val="0"/>
          <w:numId w:val="0"/>
        </w:numPr>
        <w:tabs>
          <w:tab w:val="left" w:pos="2127"/>
        </w:tabs>
        <w:spacing w:after="0"/>
        <w:jc w:val="left"/>
        <w:rPr>
          <w:rFonts w:hint="default"/>
          <w:lang w:val="en-US" w:eastAsia="zh-CN"/>
        </w:rPr>
      </w:pPr>
    </w:p>
    <w:p w14:paraId="07FE4955">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14900" cy="990600"/>
            <wp:effectExtent l="0" t="0" r="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7"/>
                    <a:stretch>
                      <a:fillRect/>
                    </a:stretch>
                  </pic:blipFill>
                  <pic:spPr>
                    <a:xfrm>
                      <a:off x="0" y="0"/>
                      <a:ext cx="4914900" cy="990600"/>
                    </a:xfrm>
                    <a:prstGeom prst="rect">
                      <a:avLst/>
                    </a:prstGeom>
                    <a:noFill/>
                    <a:ln w="9525">
                      <a:noFill/>
                    </a:ln>
                  </pic:spPr>
                </pic:pic>
              </a:graphicData>
            </a:graphic>
          </wp:inline>
        </w:drawing>
      </w:r>
    </w:p>
    <w:p w14:paraId="52F10AC1">
      <w:pPr>
        <w:jc w:val="center"/>
        <w:rPr>
          <w:rFonts w:hint="eastAsia"/>
          <w:lang w:val="en-US" w:eastAsia="zh-CN"/>
        </w:rPr>
      </w:pPr>
      <w:r>
        <w:rPr>
          <w:rFonts w:hint="eastAsia"/>
          <w:lang w:val="en-US" w:eastAsia="zh-CN"/>
        </w:rPr>
        <w:t>Figure 2.1-1.The illustration of Rel-20 A-IoT in-band operation in DL spectrum</w:t>
      </w:r>
    </w:p>
    <w:p w14:paraId="228F10F0">
      <w:pPr>
        <w:numPr>
          <w:ilvl w:val="0"/>
          <w:numId w:val="0"/>
        </w:num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A-IoT DL in-band operation, propose not to conduct the coexistence study due to the orthogonality between R2D signal and NR DL signal; </w:t>
      </w:r>
    </w:p>
    <w:p w14:paraId="28C47DD6">
      <w:pPr>
        <w:numPr>
          <w:ilvl w:val="0"/>
          <w:numId w:val="0"/>
        </w:numPr>
        <w:tabs>
          <w:tab w:val="left" w:pos="2127"/>
        </w:tabs>
        <w:spacing w:after="0"/>
        <w:jc w:val="left"/>
        <w:rPr>
          <w:rFonts w:ascii="宋体" w:hAnsi="宋体" w:eastAsia="宋体" w:cs="宋体"/>
          <w:kern w:val="0"/>
          <w:sz w:val="24"/>
          <w:szCs w:val="24"/>
          <w:lang w:val="en-US" w:eastAsia="zh-CN" w:bidi="ar"/>
        </w:rPr>
      </w:pPr>
      <w:r>
        <w:rPr>
          <w:rFonts w:hint="eastAsia"/>
          <w:lang w:val="en-US" w:eastAsia="zh-CN"/>
        </w:rPr>
        <w:t xml:space="preserve">As shown in Figure 2.1-2, for UL in-band operation case for A-IoT deployment, if D2R signal is still created similar as Rel-19 OOK signal or BPSK signal, then in the uplink spectrum, we need to conduct appropriate coexistence study to specify the RF requirement for D2R transmission in the uplink direction similar as coexistence study for NB-IoT uplink single tone operation with 3.75kHz SCS in Rel-13. </w:t>
      </w:r>
    </w:p>
    <w:p w14:paraId="1B897B3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14900" cy="990600"/>
            <wp:effectExtent l="0" t="0" r="0" b="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8"/>
                    <a:stretch>
                      <a:fillRect/>
                    </a:stretch>
                  </pic:blipFill>
                  <pic:spPr>
                    <a:xfrm>
                      <a:off x="0" y="0"/>
                      <a:ext cx="4914900" cy="990600"/>
                    </a:xfrm>
                    <a:prstGeom prst="rect">
                      <a:avLst/>
                    </a:prstGeom>
                    <a:noFill/>
                    <a:ln w="9525">
                      <a:noFill/>
                    </a:ln>
                  </pic:spPr>
                </pic:pic>
              </a:graphicData>
            </a:graphic>
          </wp:inline>
        </w:drawing>
      </w:r>
    </w:p>
    <w:p w14:paraId="7E596820">
      <w:pPr>
        <w:jc w:val="center"/>
        <w:rPr>
          <w:rFonts w:hint="eastAsia"/>
          <w:lang w:val="en-US" w:eastAsia="zh-CN"/>
        </w:rPr>
      </w:pPr>
      <w:r>
        <w:rPr>
          <w:rFonts w:hint="eastAsia"/>
          <w:lang w:val="en-US" w:eastAsia="zh-CN"/>
        </w:rPr>
        <w:t>Figure 2.1-2.The illustration of Rel-20 A-IoT in-band operation in -UL spectrum</w:t>
      </w:r>
    </w:p>
    <w:p w14:paraId="5F190AB1">
      <w:pPr>
        <w:numPr>
          <w:ilvl w:val="0"/>
          <w:numId w:val="0"/>
        </w:numPr>
        <w:tabs>
          <w:tab w:val="left" w:pos="2127"/>
        </w:tabs>
        <w:spacing w:after="0"/>
        <w:jc w:val="left"/>
        <w:rPr>
          <w:rFonts w:hint="default"/>
          <w:lang w:val="en-US" w:eastAsia="zh-CN"/>
        </w:rPr>
      </w:pPr>
      <w:r>
        <w:rPr>
          <w:rFonts w:hint="eastAsia"/>
          <w:b/>
          <w:bCs/>
          <w:lang w:val="en-US" w:eastAsia="zh-CN"/>
        </w:rPr>
        <w:t>Proposal 2</w:t>
      </w:r>
      <w:r>
        <w:rPr>
          <w:rFonts w:hint="eastAsia"/>
          <w:lang w:val="en-US" w:eastAsia="zh-CN"/>
        </w:rPr>
        <w:t xml:space="preserve">: for A-IoT UL in-band operation, propose to conduct the coexistence study between OOK/BPSK and UL NR signal.  </w:t>
      </w:r>
    </w:p>
    <w:p w14:paraId="4E3EEC12">
      <w:pPr>
        <w:numPr>
          <w:ilvl w:val="0"/>
          <w:numId w:val="0"/>
        </w:numPr>
        <w:tabs>
          <w:tab w:val="left" w:pos="2127"/>
        </w:tabs>
        <w:spacing w:after="0"/>
        <w:jc w:val="left"/>
        <w:rPr>
          <w:rFonts w:hint="default"/>
          <w:lang w:val="en-US" w:eastAsia="zh-CN"/>
        </w:rPr>
      </w:pPr>
      <w:r>
        <w:rPr>
          <w:rFonts w:hint="eastAsia"/>
          <w:lang w:val="en-US" w:eastAsia="zh-CN"/>
        </w:rPr>
        <w:t xml:space="preserve">As standalone A-IoT deployment as shown in Figure 2.1-3 and Figure 2.1-4, similar as other new RAT introduction, we need to conduct the appropriate coexistence study to identify the acceptable ACLR/ACS requirement for it. </w:t>
      </w:r>
    </w:p>
    <w:p w14:paraId="2A2463B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429000" cy="990600"/>
            <wp:effectExtent l="0" t="0" r="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9"/>
                    <a:stretch>
                      <a:fillRect/>
                    </a:stretch>
                  </pic:blipFill>
                  <pic:spPr>
                    <a:xfrm>
                      <a:off x="0" y="0"/>
                      <a:ext cx="3429000" cy="990600"/>
                    </a:xfrm>
                    <a:prstGeom prst="rect">
                      <a:avLst/>
                    </a:prstGeom>
                    <a:noFill/>
                    <a:ln w="9525">
                      <a:noFill/>
                    </a:ln>
                  </pic:spPr>
                </pic:pic>
              </a:graphicData>
            </a:graphic>
          </wp:inline>
        </w:drawing>
      </w:r>
    </w:p>
    <w:p w14:paraId="6F082271">
      <w:pPr>
        <w:jc w:val="center"/>
        <w:rPr>
          <w:rFonts w:hint="default"/>
          <w:lang w:val="en-US" w:eastAsia="zh-CN"/>
        </w:rPr>
      </w:pPr>
      <w:r>
        <w:rPr>
          <w:rFonts w:hint="eastAsia"/>
          <w:lang w:val="en-US" w:eastAsia="zh-CN"/>
        </w:rPr>
        <w:t>Figure 2.1-3.The illustration of Rel-20 A-IoT in-band operation in DL spectrum</w:t>
      </w:r>
    </w:p>
    <w:p w14:paraId="778AB2A5">
      <w:pPr>
        <w:keepNext w:val="0"/>
        <w:keepLines w:val="0"/>
        <w:widowControl/>
        <w:suppressLineNumbers w:val="0"/>
        <w:jc w:val="center"/>
        <w:rPr>
          <w:rFonts w:ascii="宋体" w:hAnsi="宋体" w:eastAsia="宋体" w:cs="宋体"/>
          <w:kern w:val="0"/>
          <w:sz w:val="24"/>
          <w:szCs w:val="24"/>
          <w:lang w:val="en-US" w:eastAsia="zh-CN" w:bidi="ar"/>
        </w:rPr>
      </w:pPr>
    </w:p>
    <w:p w14:paraId="6B23CA9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429000" cy="990600"/>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0"/>
                    <a:stretch>
                      <a:fillRect/>
                    </a:stretch>
                  </pic:blipFill>
                  <pic:spPr>
                    <a:xfrm>
                      <a:off x="0" y="0"/>
                      <a:ext cx="3429000" cy="990600"/>
                    </a:xfrm>
                    <a:prstGeom prst="rect">
                      <a:avLst/>
                    </a:prstGeom>
                    <a:noFill/>
                    <a:ln w="9525">
                      <a:noFill/>
                    </a:ln>
                  </pic:spPr>
                </pic:pic>
              </a:graphicData>
            </a:graphic>
          </wp:inline>
        </w:drawing>
      </w:r>
    </w:p>
    <w:p w14:paraId="6F1372FD">
      <w:pPr>
        <w:jc w:val="center"/>
        <w:rPr>
          <w:rFonts w:hint="eastAsia"/>
          <w:lang w:val="en-US" w:eastAsia="zh-CN"/>
        </w:rPr>
      </w:pPr>
      <w:r>
        <w:rPr>
          <w:rFonts w:hint="eastAsia"/>
          <w:lang w:val="en-US" w:eastAsia="zh-CN"/>
        </w:rPr>
        <w:t>Figure 2.1-4.The illustration of Rel-20 A-IoT in-band operation in DL spectrum</w:t>
      </w:r>
    </w:p>
    <w:p w14:paraId="5645F203">
      <w:pPr>
        <w:numPr>
          <w:ilvl w:val="0"/>
          <w:numId w:val="0"/>
        </w:num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A-IoT standalone deployment, propose to conduct the coexistence study in both DL and UL direction. </w:t>
      </w:r>
    </w:p>
    <w:p w14:paraId="38F09B65">
      <w:pPr>
        <w:numPr>
          <w:ilvl w:val="0"/>
          <w:numId w:val="0"/>
        </w:numPr>
        <w:tabs>
          <w:tab w:val="left" w:pos="2127"/>
        </w:tabs>
        <w:spacing w:after="0"/>
        <w:jc w:val="left"/>
        <w:rPr>
          <w:rFonts w:hint="default"/>
          <w:lang w:val="en-US" w:eastAsia="zh-CN"/>
        </w:rPr>
      </w:pPr>
      <w:r>
        <w:rPr>
          <w:rFonts w:hint="eastAsia"/>
          <w:lang w:val="en-US" w:eastAsia="zh-CN"/>
        </w:rPr>
        <w:t>In the following Table 2.1-1, we summarized the necessary coexistence scenario for A-IoT outdoor deployment in Rel-20.</w:t>
      </w:r>
    </w:p>
    <w:p w14:paraId="6587172C">
      <w:pPr>
        <w:numPr>
          <w:ilvl w:val="0"/>
          <w:numId w:val="0"/>
        </w:numPr>
        <w:tabs>
          <w:tab w:val="left" w:pos="2127"/>
        </w:tabs>
        <w:spacing w:after="0"/>
        <w:jc w:val="center"/>
        <w:rPr>
          <w:rFonts w:hint="default"/>
          <w:lang w:val="en-US" w:eastAsia="zh-CN"/>
        </w:rPr>
      </w:pPr>
      <w:r>
        <w:rPr>
          <w:rFonts w:hint="eastAsia"/>
          <w:lang w:val="en-US" w:eastAsia="zh-CN"/>
        </w:rPr>
        <w:t>Table 2.1-1. The coexistence scenario for A-IoT outdoor deployment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14:paraId="7F27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14:paraId="6BF609AD">
            <w:pPr>
              <w:keepNext w:val="0"/>
              <w:keepLines w:val="0"/>
              <w:suppressLineNumbers w:val="0"/>
              <w:spacing w:before="0" w:beforeAutospacing="0" w:afterAutospacing="0"/>
              <w:ind w:left="0" w:right="0"/>
              <w:jc w:val="both"/>
              <w:rPr>
                <w:rFonts w:hint="default"/>
                <w:vertAlign w:val="baseline"/>
                <w:lang w:val="en-US" w:eastAsia="zh-CN"/>
              </w:rPr>
            </w:pPr>
            <w:r>
              <w:rPr>
                <w:rFonts w:hint="eastAsia"/>
                <w:vertAlign w:val="baseline"/>
                <w:lang w:val="en-US" w:eastAsia="zh-CN"/>
              </w:rPr>
              <w:t>Coexistence case</w:t>
            </w:r>
          </w:p>
        </w:tc>
        <w:tc>
          <w:tcPr>
            <w:tcW w:w="3321" w:type="dxa"/>
            <w:shd w:val="clear" w:color="auto" w:fill="D7D7D7" w:themeFill="background1" w:themeFillShade="D8"/>
          </w:tcPr>
          <w:p w14:paraId="52C3F057">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Aggressor system</w:t>
            </w:r>
          </w:p>
        </w:tc>
        <w:tc>
          <w:tcPr>
            <w:tcW w:w="3321" w:type="dxa"/>
            <w:shd w:val="clear" w:color="auto" w:fill="D7D7D7" w:themeFill="background1" w:themeFillShade="D8"/>
          </w:tcPr>
          <w:p w14:paraId="0463F3D2">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Victim system</w:t>
            </w:r>
          </w:p>
        </w:tc>
      </w:tr>
      <w:tr w14:paraId="4C03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92BF8F4">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w:t>
            </w:r>
          </w:p>
        </w:tc>
        <w:tc>
          <w:tcPr>
            <w:tcW w:w="3321" w:type="dxa"/>
          </w:tcPr>
          <w:p w14:paraId="3E52B858">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A-IoT in-band UL</w:t>
            </w:r>
          </w:p>
        </w:tc>
        <w:tc>
          <w:tcPr>
            <w:tcW w:w="3321" w:type="dxa"/>
          </w:tcPr>
          <w:p w14:paraId="79804130">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NR UL</w:t>
            </w:r>
          </w:p>
        </w:tc>
      </w:tr>
      <w:tr w14:paraId="3FC00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03BD26C">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2</w:t>
            </w:r>
          </w:p>
        </w:tc>
        <w:tc>
          <w:tcPr>
            <w:tcW w:w="3321" w:type="dxa"/>
          </w:tcPr>
          <w:p w14:paraId="5DD089C1">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NR UL</w:t>
            </w:r>
          </w:p>
        </w:tc>
        <w:tc>
          <w:tcPr>
            <w:tcW w:w="3321" w:type="dxa"/>
          </w:tcPr>
          <w:p w14:paraId="4133083E">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A-IoT in-band UL</w:t>
            </w:r>
          </w:p>
        </w:tc>
      </w:tr>
      <w:tr w14:paraId="3ED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1309B33B">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3</w:t>
            </w:r>
          </w:p>
        </w:tc>
        <w:tc>
          <w:tcPr>
            <w:tcW w:w="3321" w:type="dxa"/>
          </w:tcPr>
          <w:p w14:paraId="1324B8A4">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A-IoT SA DL</w:t>
            </w:r>
          </w:p>
        </w:tc>
        <w:tc>
          <w:tcPr>
            <w:tcW w:w="3321" w:type="dxa"/>
          </w:tcPr>
          <w:p w14:paraId="61AC60C0">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NR DL</w:t>
            </w:r>
          </w:p>
        </w:tc>
      </w:tr>
      <w:tr w14:paraId="65672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E40788D">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4</w:t>
            </w:r>
          </w:p>
        </w:tc>
        <w:tc>
          <w:tcPr>
            <w:tcW w:w="3321" w:type="dxa"/>
          </w:tcPr>
          <w:p w14:paraId="5F807E88">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NR DL</w:t>
            </w:r>
          </w:p>
        </w:tc>
        <w:tc>
          <w:tcPr>
            <w:tcW w:w="3321" w:type="dxa"/>
          </w:tcPr>
          <w:p w14:paraId="0BA79521">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A-IoT SA DL</w:t>
            </w:r>
          </w:p>
        </w:tc>
      </w:tr>
      <w:tr w14:paraId="4551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61AD269C">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5</w:t>
            </w:r>
          </w:p>
        </w:tc>
        <w:tc>
          <w:tcPr>
            <w:tcW w:w="3321" w:type="dxa"/>
            <w:vAlign w:val="top"/>
          </w:tcPr>
          <w:p w14:paraId="406F3B6E">
            <w:pPr>
              <w:keepNext w:val="0"/>
              <w:keepLines w:val="0"/>
              <w:suppressLineNumbers w:val="0"/>
              <w:spacing w:before="0" w:beforeAutospacing="0" w:afterAutospacing="0"/>
              <w:ind w:left="0" w:leftChars="0" w:right="0" w:rightChars="0"/>
              <w:jc w:val="center"/>
              <w:rPr>
                <w:rFonts w:hint="eastAsia"/>
                <w:vertAlign w:val="baseline"/>
                <w:lang w:val="en-US" w:eastAsia="zh-CN"/>
              </w:rPr>
            </w:pPr>
            <w:r>
              <w:rPr>
                <w:rFonts w:hint="eastAsia"/>
                <w:vertAlign w:val="baseline"/>
                <w:lang w:val="en-US" w:eastAsia="zh-CN"/>
              </w:rPr>
              <w:t>A-IoT SA UL</w:t>
            </w:r>
          </w:p>
        </w:tc>
        <w:tc>
          <w:tcPr>
            <w:tcW w:w="3321" w:type="dxa"/>
            <w:vAlign w:val="top"/>
          </w:tcPr>
          <w:p w14:paraId="6A2B1E5A">
            <w:pPr>
              <w:keepNext w:val="0"/>
              <w:keepLines w:val="0"/>
              <w:suppressLineNumbers w:val="0"/>
              <w:spacing w:before="0" w:beforeAutospacing="0" w:afterAutospacing="0"/>
              <w:ind w:left="0" w:leftChars="0" w:right="0" w:rightChars="0"/>
              <w:jc w:val="center"/>
              <w:rPr>
                <w:rFonts w:hint="eastAsia"/>
                <w:vertAlign w:val="baseline"/>
                <w:lang w:val="en-US" w:eastAsia="zh-CN"/>
              </w:rPr>
            </w:pPr>
            <w:r>
              <w:rPr>
                <w:rFonts w:hint="eastAsia"/>
                <w:vertAlign w:val="baseline"/>
                <w:lang w:val="en-US" w:eastAsia="zh-CN"/>
              </w:rPr>
              <w:t>NR UL</w:t>
            </w:r>
          </w:p>
        </w:tc>
      </w:tr>
      <w:tr w14:paraId="43B3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9A38332">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6</w:t>
            </w:r>
          </w:p>
        </w:tc>
        <w:tc>
          <w:tcPr>
            <w:tcW w:w="3321" w:type="dxa"/>
            <w:vAlign w:val="top"/>
          </w:tcPr>
          <w:p w14:paraId="485EA704">
            <w:pPr>
              <w:keepNext w:val="0"/>
              <w:keepLines w:val="0"/>
              <w:suppressLineNumbers w:val="0"/>
              <w:spacing w:before="0" w:beforeAutospacing="0" w:afterAutospacing="0"/>
              <w:ind w:left="0" w:leftChars="0" w:right="0" w:rightChars="0"/>
              <w:jc w:val="center"/>
              <w:rPr>
                <w:rFonts w:hint="eastAsia"/>
                <w:vertAlign w:val="baseline"/>
                <w:lang w:val="en-US" w:eastAsia="zh-CN"/>
              </w:rPr>
            </w:pPr>
            <w:r>
              <w:rPr>
                <w:rFonts w:hint="eastAsia"/>
                <w:vertAlign w:val="baseline"/>
                <w:lang w:val="en-US" w:eastAsia="zh-CN"/>
              </w:rPr>
              <w:t>NR UL</w:t>
            </w:r>
          </w:p>
        </w:tc>
        <w:tc>
          <w:tcPr>
            <w:tcW w:w="3321" w:type="dxa"/>
            <w:vAlign w:val="top"/>
          </w:tcPr>
          <w:p w14:paraId="348D49FE">
            <w:pPr>
              <w:keepNext w:val="0"/>
              <w:keepLines w:val="0"/>
              <w:suppressLineNumbers w:val="0"/>
              <w:spacing w:before="0" w:beforeAutospacing="0" w:afterAutospacing="0"/>
              <w:ind w:left="0" w:leftChars="0" w:right="0" w:rightChars="0"/>
              <w:jc w:val="center"/>
              <w:rPr>
                <w:rFonts w:hint="eastAsia"/>
                <w:vertAlign w:val="baseline"/>
                <w:lang w:val="en-US" w:eastAsia="zh-CN"/>
              </w:rPr>
            </w:pPr>
            <w:r>
              <w:rPr>
                <w:rFonts w:hint="eastAsia"/>
                <w:vertAlign w:val="baseline"/>
                <w:lang w:val="en-US" w:eastAsia="zh-CN"/>
              </w:rPr>
              <w:t>A-IoT SA UL</w:t>
            </w:r>
          </w:p>
        </w:tc>
      </w:tr>
    </w:tbl>
    <w:p w14:paraId="36F0F5CB">
      <w:pPr>
        <w:keepNext w:val="0"/>
        <w:keepLines w:val="0"/>
        <w:widowControl/>
        <w:suppressLineNumbers w:val="0"/>
        <w:jc w:val="left"/>
        <w:rPr>
          <w:rFonts w:ascii="宋体" w:hAnsi="宋体" w:eastAsia="宋体" w:cs="宋体"/>
          <w:kern w:val="0"/>
          <w:sz w:val="24"/>
          <w:szCs w:val="24"/>
          <w:lang w:val="en-US" w:eastAsia="zh-CN" w:bidi="ar"/>
        </w:rPr>
      </w:pPr>
    </w:p>
    <w:p w14:paraId="66CEFD1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lang w:val="en-US" w:eastAsia="zh-CN"/>
        </w:rPr>
      </w:pPr>
      <w:r>
        <w:rPr>
          <w:rFonts w:hint="eastAsia" w:ascii="Arial" w:hAnsi="Arial" w:cs="Arial"/>
          <w:lang w:val="en-US" w:eastAsia="zh-CN"/>
        </w:rPr>
        <w:t>2.2. Simulation assumption</w:t>
      </w:r>
    </w:p>
    <w:p w14:paraId="2628A40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ascii="Arial" w:hAnsi="Arial" w:cs="Arial"/>
          <w:lang w:val="en-US" w:eastAsia="zh-CN"/>
        </w:rPr>
      </w:pPr>
      <w:r>
        <w:rPr>
          <w:rFonts w:hint="eastAsia" w:ascii="Arial" w:hAnsi="Arial" w:cs="Arial"/>
          <w:lang w:val="en-US" w:eastAsia="zh-CN"/>
        </w:rPr>
        <w:t>2.2.1.Simulation parameters</w:t>
      </w:r>
    </w:p>
    <w:p w14:paraId="44DC8358">
      <w:pPr>
        <w:numPr>
          <w:ilvl w:val="0"/>
          <w:numId w:val="0"/>
        </w:numPr>
        <w:tabs>
          <w:tab w:val="left" w:pos="2127"/>
        </w:tabs>
        <w:spacing w:after="0"/>
        <w:jc w:val="both"/>
        <w:rPr>
          <w:rFonts w:hint="default"/>
          <w:lang w:val="en-US" w:eastAsia="zh-CN"/>
        </w:rPr>
      </w:pPr>
      <w:r>
        <w:rPr>
          <w:rFonts w:hint="eastAsia"/>
          <w:lang w:val="en-US" w:eastAsia="zh-CN"/>
        </w:rPr>
        <w:t>In the following table 2.2.1-1, we provide some initial simulation assumption for coexistence study of Rel-20 A-IoT outdoor deployment.</w:t>
      </w:r>
    </w:p>
    <w:p w14:paraId="52162630">
      <w:pPr>
        <w:numPr>
          <w:ilvl w:val="0"/>
          <w:numId w:val="0"/>
        </w:numPr>
        <w:tabs>
          <w:tab w:val="left" w:pos="2127"/>
        </w:tabs>
        <w:spacing w:after="0"/>
        <w:jc w:val="center"/>
        <w:rPr>
          <w:rFonts w:hint="default"/>
          <w:lang w:val="en-US" w:eastAsia="zh-CN"/>
        </w:rPr>
      </w:pPr>
      <w:r>
        <w:rPr>
          <w:rFonts w:hint="eastAsia"/>
          <w:lang w:val="en-US" w:eastAsia="zh-CN"/>
        </w:rPr>
        <w:t>Table 2.2.1-1. The coexistence scenario for A-IoT outdoor deployment</w:t>
      </w:r>
    </w:p>
    <w:tbl>
      <w:tblPr>
        <w:tblStyle w:val="26"/>
        <w:tblpPr w:leftFromText="180" w:rightFromText="180" w:vertAnchor="text" w:horzAnchor="page" w:tblpX="1422" w:tblpY="141"/>
        <w:tblOverlap w:val="never"/>
        <w:tblW w:w="4993"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144"/>
        <w:gridCol w:w="2268"/>
        <w:gridCol w:w="2268"/>
        <w:gridCol w:w="2268"/>
      </w:tblGrid>
      <w:tr w14:paraId="304771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0" w:hRule="atLeast"/>
          <w:tblHeader/>
        </w:trPr>
        <w:tc>
          <w:tcPr>
            <w:tcW w:w="1580" w:type="pct"/>
            <w:noWrap w:val="0"/>
            <w:vAlign w:val="center"/>
          </w:tcPr>
          <w:p w14:paraId="12C6C856">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60" w:lineRule="auto"/>
              <w:ind w:left="0" w:right="0"/>
              <w:textAlignment w:val="baseline"/>
              <w:rPr>
                <w:rFonts w:hint="default" w:cs="Arial"/>
                <w:lang w:eastAsia="ja-JP"/>
              </w:rPr>
            </w:pPr>
          </w:p>
        </w:tc>
        <w:tc>
          <w:tcPr>
            <w:tcW w:w="1139" w:type="pct"/>
            <w:noWrap w:val="0"/>
            <w:vAlign w:val="center"/>
          </w:tcPr>
          <w:p w14:paraId="64941B76">
            <w:pPr>
              <w:pStyle w:val="38"/>
              <w:keepNext/>
              <w:keepLines/>
              <w:pageBreakBefore w:val="0"/>
              <w:widowControl/>
              <w:numPr>
                <w:ilvl w:val="0"/>
                <w:numId w:val="3"/>
              </w:numPr>
              <w:suppressLineNumbers w:val="0"/>
              <w:kinsoku/>
              <w:wordWrap/>
              <w:overflowPunct w:val="0"/>
              <w:topLinePunct w:val="0"/>
              <w:autoSpaceDE w:val="0"/>
              <w:autoSpaceDN w:val="0"/>
              <w:bidi w:val="0"/>
              <w:adjustRightInd w:val="0"/>
              <w:snapToGrid/>
              <w:spacing w:before="0" w:beforeAutospacing="0" w:after="0" w:afterAutospacing="0" w:line="260" w:lineRule="auto"/>
              <w:ind w:left="0" w:right="0"/>
              <w:textAlignment w:val="baseline"/>
              <w:rPr>
                <w:rFonts w:hint="eastAsia" w:cs="Arial"/>
                <w:lang w:val="en-US" w:eastAsia="zh-CN"/>
              </w:rPr>
            </w:pPr>
            <w:r>
              <w:rPr>
                <w:rFonts w:hint="eastAsia" w:cs="Arial"/>
                <w:lang w:val="en-US" w:eastAsia="zh-CN"/>
              </w:rPr>
              <w:t xml:space="preserve">IoT </w:t>
            </w:r>
          </w:p>
          <w:p w14:paraId="1BB1659D">
            <w:pPr>
              <w:pStyle w:val="38"/>
              <w:keepNext/>
              <w:keepLines/>
              <w:pageBreakBefore w:val="0"/>
              <w:widowControl/>
              <w:numPr>
                <w:ilvl w:val="0"/>
                <w:numId w:val="0"/>
              </w:numPr>
              <w:suppressLineNumbers w:val="0"/>
              <w:kinsoku/>
              <w:wordWrap/>
              <w:overflowPunct w:val="0"/>
              <w:topLinePunct w:val="0"/>
              <w:autoSpaceDE w:val="0"/>
              <w:autoSpaceDN w:val="0"/>
              <w:bidi w:val="0"/>
              <w:adjustRightInd w:val="0"/>
              <w:snapToGrid/>
              <w:spacing w:before="0" w:beforeAutospacing="0" w:after="0" w:afterAutospacing="0" w:line="260" w:lineRule="auto"/>
              <w:ind w:left="0" w:right="0" w:firstLine="700" w:firstLineChars="500"/>
              <w:jc w:val="both"/>
              <w:textAlignment w:val="baseline"/>
              <w:rPr>
                <w:rFonts w:hint="default" w:cs="Arial"/>
                <w:lang w:eastAsia="en-US"/>
              </w:rPr>
            </w:pPr>
            <w:r>
              <w:rPr>
                <w:rFonts w:hint="default" w:cs="Arial"/>
                <w:sz w:val="14"/>
                <w:szCs w:val="14"/>
                <w:lang w:eastAsia="en-US"/>
              </w:rPr>
              <w:t>standalone</w:t>
            </w:r>
          </w:p>
        </w:tc>
        <w:tc>
          <w:tcPr>
            <w:tcW w:w="1139" w:type="pct"/>
            <w:noWrap w:val="0"/>
            <w:vAlign w:val="center"/>
          </w:tcPr>
          <w:p w14:paraId="5AD036EE">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60" w:lineRule="auto"/>
              <w:ind w:left="0" w:right="0"/>
              <w:textAlignment w:val="baseline"/>
              <w:rPr>
                <w:rFonts w:hint="default" w:cs="Arial"/>
                <w:lang w:eastAsia="en-US"/>
              </w:rPr>
            </w:pPr>
            <w:r>
              <w:rPr>
                <w:rFonts w:hint="eastAsia" w:cs="Arial"/>
                <w:lang w:val="en-US" w:eastAsia="zh-CN"/>
              </w:rPr>
              <w:t>A</w:t>
            </w:r>
            <w:r>
              <w:rPr>
                <w:rFonts w:hint="eastAsia" w:cs="Arial"/>
                <w:lang w:eastAsia="zh-CN"/>
              </w:rPr>
              <w:t>-</w:t>
            </w:r>
            <w:r>
              <w:rPr>
                <w:rFonts w:hint="default" w:cs="Arial"/>
                <w:lang w:eastAsia="en-US"/>
              </w:rPr>
              <w:t>IoT</w:t>
            </w:r>
          </w:p>
          <w:p w14:paraId="34F902CB">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60" w:lineRule="auto"/>
              <w:ind w:left="0" w:right="0"/>
              <w:textAlignment w:val="baseline"/>
              <w:rPr>
                <w:rFonts w:hint="default" w:cs="Arial"/>
                <w:lang w:eastAsia="ja-JP"/>
              </w:rPr>
            </w:pPr>
            <w:r>
              <w:rPr>
                <w:rFonts w:hint="default" w:cs="Arial"/>
                <w:sz w:val="14"/>
                <w:szCs w:val="14"/>
                <w:lang w:eastAsia="en-US"/>
              </w:rPr>
              <w:t>in-band/</w:t>
            </w:r>
          </w:p>
        </w:tc>
        <w:tc>
          <w:tcPr>
            <w:tcW w:w="1139" w:type="pct"/>
            <w:noWrap w:val="0"/>
            <w:vAlign w:val="center"/>
          </w:tcPr>
          <w:p w14:paraId="066EBDA0">
            <w:pPr>
              <w:pStyle w:val="38"/>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60" w:lineRule="auto"/>
              <w:ind w:left="0" w:right="0"/>
              <w:textAlignment w:val="baseline"/>
              <w:rPr>
                <w:rFonts w:hint="default" w:eastAsia="宋体" w:cs="Arial"/>
                <w:lang w:val="en-US" w:eastAsia="zh-CN"/>
              </w:rPr>
            </w:pPr>
            <w:r>
              <w:rPr>
                <w:rFonts w:hint="eastAsia" w:eastAsia="宋体" w:cs="Arial"/>
                <w:lang w:val="en-US" w:eastAsia="zh-CN"/>
              </w:rPr>
              <w:t>NR</w:t>
            </w:r>
          </w:p>
        </w:tc>
      </w:tr>
      <w:tr w14:paraId="4E8AE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66956E48">
            <w:pPr>
              <w:pStyle w:val="39"/>
              <w:suppressLineNumbers w:val="0"/>
              <w:spacing w:before="0" w:beforeAutospacing="0" w:afterAutospacing="0"/>
              <w:ind w:left="0" w:right="0"/>
              <w:rPr>
                <w:rFonts w:hint="default" w:cs="Arial"/>
                <w:lang w:eastAsia="en-US"/>
              </w:rPr>
            </w:pPr>
            <w:r>
              <w:rPr>
                <w:rFonts w:hint="default" w:cs="Arial"/>
                <w:lang w:eastAsia="en-US"/>
              </w:rPr>
              <w:t xml:space="preserve">Carrier frequency in </w:t>
            </w:r>
            <w:r>
              <w:rPr>
                <w:rFonts w:hint="default" w:cs="Arial"/>
                <w:i/>
                <w:lang w:eastAsia="en-US"/>
              </w:rPr>
              <w:t>GHz</w:t>
            </w:r>
          </w:p>
        </w:tc>
        <w:tc>
          <w:tcPr>
            <w:tcW w:w="1139" w:type="pct"/>
            <w:noWrap w:val="0"/>
            <w:vAlign w:val="center"/>
          </w:tcPr>
          <w:p w14:paraId="2F2C1DCE">
            <w:pPr>
              <w:pStyle w:val="39"/>
              <w:suppressLineNumbers w:val="0"/>
              <w:spacing w:before="0" w:beforeAutospacing="0" w:afterAutospacing="0"/>
              <w:ind w:left="0" w:right="0"/>
              <w:rPr>
                <w:rFonts w:hint="default" w:cs="Arial"/>
                <w:lang w:eastAsia="en-US"/>
              </w:rPr>
            </w:pPr>
            <w:r>
              <w:rPr>
                <w:rFonts w:hint="default" w:cs="Arial"/>
                <w:lang w:eastAsia="en-US"/>
              </w:rPr>
              <w:t xml:space="preserve">0.9 </w:t>
            </w:r>
          </w:p>
        </w:tc>
        <w:tc>
          <w:tcPr>
            <w:tcW w:w="1139" w:type="pct"/>
            <w:noWrap w:val="0"/>
            <w:vAlign w:val="center"/>
          </w:tcPr>
          <w:p w14:paraId="1F3402A1">
            <w:pPr>
              <w:pStyle w:val="39"/>
              <w:suppressLineNumbers w:val="0"/>
              <w:spacing w:before="0" w:beforeAutospacing="0" w:afterAutospacing="0"/>
              <w:ind w:left="0" w:right="0"/>
              <w:rPr>
                <w:rFonts w:hint="default" w:cs="Arial"/>
                <w:lang w:eastAsia="en-US"/>
              </w:rPr>
            </w:pPr>
            <w:r>
              <w:rPr>
                <w:rFonts w:hint="default" w:cs="Arial"/>
                <w:lang w:eastAsia="en-US"/>
              </w:rPr>
              <w:t xml:space="preserve">0.9 </w:t>
            </w:r>
          </w:p>
        </w:tc>
        <w:tc>
          <w:tcPr>
            <w:tcW w:w="1139" w:type="pct"/>
            <w:noWrap w:val="0"/>
            <w:vAlign w:val="center"/>
          </w:tcPr>
          <w:p w14:paraId="13882585">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0.9</w:t>
            </w:r>
          </w:p>
        </w:tc>
      </w:tr>
      <w:tr w14:paraId="0735E4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5A7A766D">
            <w:pPr>
              <w:pStyle w:val="39"/>
              <w:suppressLineNumbers w:val="0"/>
              <w:spacing w:before="0" w:beforeAutospacing="0" w:afterAutospacing="0"/>
              <w:ind w:left="0" w:right="0"/>
              <w:rPr>
                <w:rFonts w:hint="default" w:cs="Arial"/>
                <w:lang w:eastAsia="en-US"/>
              </w:rPr>
            </w:pPr>
            <w:r>
              <w:rPr>
                <w:rFonts w:hint="default" w:cs="Arial"/>
                <w:lang w:eastAsia="en-US"/>
              </w:rPr>
              <w:t xml:space="preserve">Size of each nominal channel BW in </w:t>
            </w:r>
            <w:r>
              <w:rPr>
                <w:rFonts w:hint="default" w:cs="Arial"/>
                <w:i/>
                <w:lang w:eastAsia="en-US"/>
              </w:rPr>
              <w:t>MHz</w:t>
            </w:r>
          </w:p>
        </w:tc>
        <w:tc>
          <w:tcPr>
            <w:tcW w:w="1139" w:type="pct"/>
            <w:noWrap w:val="0"/>
            <w:vAlign w:val="center"/>
          </w:tcPr>
          <w:p w14:paraId="61CE4E19">
            <w:pPr>
              <w:pStyle w:val="39"/>
              <w:suppressLineNumbers w:val="0"/>
              <w:spacing w:before="0" w:beforeAutospacing="0" w:afterAutospacing="0"/>
              <w:ind w:left="0" w:right="0"/>
              <w:rPr>
                <w:rFonts w:hint="default" w:cs="Arial"/>
                <w:lang w:eastAsia="en-US"/>
              </w:rPr>
            </w:pPr>
            <w:r>
              <w:rPr>
                <w:rFonts w:hint="default" w:cs="Arial"/>
                <w:lang w:eastAsia="en-US"/>
              </w:rPr>
              <w:t>0.2</w:t>
            </w:r>
          </w:p>
        </w:tc>
        <w:tc>
          <w:tcPr>
            <w:tcW w:w="1139" w:type="pct"/>
            <w:noWrap w:val="0"/>
            <w:vAlign w:val="center"/>
          </w:tcPr>
          <w:p w14:paraId="1EEE131C">
            <w:pPr>
              <w:pStyle w:val="39"/>
              <w:suppressLineNumbers w:val="0"/>
              <w:spacing w:before="0" w:beforeAutospacing="0" w:afterAutospacing="0"/>
              <w:ind w:left="0" w:right="0"/>
              <w:rPr>
                <w:rFonts w:hint="default" w:cs="Arial"/>
                <w:lang w:eastAsia="en-US"/>
              </w:rPr>
            </w:pPr>
            <w:r>
              <w:rPr>
                <w:rFonts w:hint="default" w:cs="Arial"/>
                <w:lang w:eastAsia="en-US"/>
              </w:rPr>
              <w:t>0.18</w:t>
            </w:r>
          </w:p>
        </w:tc>
        <w:tc>
          <w:tcPr>
            <w:tcW w:w="1139" w:type="pct"/>
            <w:noWrap w:val="0"/>
            <w:vAlign w:val="center"/>
          </w:tcPr>
          <w:p w14:paraId="1CB842CA">
            <w:pPr>
              <w:pStyle w:val="39"/>
              <w:suppressLineNumbers w:val="0"/>
              <w:spacing w:before="0" w:beforeAutospacing="0" w:afterAutospacing="0"/>
              <w:ind w:left="0" w:right="0"/>
              <w:rPr>
                <w:rFonts w:hint="default" w:cs="Arial"/>
                <w:lang w:eastAsia="en-US"/>
              </w:rPr>
            </w:pPr>
            <w:r>
              <w:rPr>
                <w:rFonts w:hint="default" w:cs="Arial"/>
                <w:lang w:eastAsia="en-US"/>
              </w:rPr>
              <w:t>10</w:t>
            </w:r>
          </w:p>
        </w:tc>
      </w:tr>
      <w:tr w14:paraId="67E0E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56EA94F7">
            <w:pPr>
              <w:pStyle w:val="39"/>
              <w:suppressLineNumbers w:val="0"/>
              <w:spacing w:before="0" w:beforeAutospacing="0" w:afterAutospacing="0"/>
              <w:ind w:left="0" w:right="0"/>
              <w:rPr>
                <w:rFonts w:hint="default" w:cs="Arial"/>
                <w:lang w:eastAsia="en-US"/>
              </w:rPr>
            </w:pPr>
            <w:r>
              <w:rPr>
                <w:rFonts w:hint="default" w:cs="Arial"/>
                <w:lang w:eastAsia="en-US"/>
              </w:rPr>
              <w:t xml:space="preserve">Transmission bandwidth in </w:t>
            </w:r>
            <w:r>
              <w:rPr>
                <w:rFonts w:hint="default" w:cs="Arial"/>
                <w:i/>
                <w:lang w:eastAsia="en-US"/>
              </w:rPr>
              <w:t>MHz</w:t>
            </w:r>
          </w:p>
        </w:tc>
        <w:tc>
          <w:tcPr>
            <w:tcW w:w="1139" w:type="pct"/>
            <w:noWrap w:val="0"/>
            <w:vAlign w:val="center"/>
          </w:tcPr>
          <w:p w14:paraId="28DB4805">
            <w:pPr>
              <w:pStyle w:val="39"/>
              <w:suppressLineNumbers w:val="0"/>
              <w:spacing w:before="0" w:beforeAutospacing="0" w:afterAutospacing="0"/>
              <w:ind w:left="0" w:right="0"/>
              <w:rPr>
                <w:rFonts w:hint="default" w:cs="Arial"/>
                <w:lang w:eastAsia="en-US"/>
              </w:rPr>
            </w:pPr>
            <w:r>
              <w:rPr>
                <w:rFonts w:hint="default" w:cs="Arial"/>
                <w:lang w:eastAsia="en-US"/>
              </w:rPr>
              <w:t>0.18</w:t>
            </w:r>
          </w:p>
        </w:tc>
        <w:tc>
          <w:tcPr>
            <w:tcW w:w="1139" w:type="pct"/>
            <w:noWrap w:val="0"/>
            <w:vAlign w:val="center"/>
          </w:tcPr>
          <w:p w14:paraId="22D26797">
            <w:pPr>
              <w:pStyle w:val="39"/>
              <w:suppressLineNumbers w:val="0"/>
              <w:spacing w:before="0" w:beforeAutospacing="0" w:afterAutospacing="0"/>
              <w:ind w:left="0" w:right="0"/>
              <w:rPr>
                <w:rFonts w:hint="default" w:cs="Arial"/>
                <w:lang w:eastAsia="en-US"/>
              </w:rPr>
            </w:pPr>
            <w:r>
              <w:rPr>
                <w:rFonts w:hint="default" w:cs="Arial"/>
                <w:lang w:eastAsia="en-US"/>
              </w:rPr>
              <w:t>0.18</w:t>
            </w:r>
          </w:p>
        </w:tc>
        <w:tc>
          <w:tcPr>
            <w:tcW w:w="1139" w:type="pct"/>
            <w:noWrap w:val="0"/>
            <w:vAlign w:val="center"/>
          </w:tcPr>
          <w:p w14:paraId="6053A888">
            <w:pPr>
              <w:pStyle w:val="39"/>
              <w:suppressLineNumbers w:val="0"/>
              <w:spacing w:before="0" w:beforeAutospacing="0" w:afterAutospacing="0"/>
              <w:ind w:left="0" w:right="0"/>
              <w:rPr>
                <w:rFonts w:hint="default" w:cs="Arial"/>
                <w:lang w:eastAsia="en-US"/>
              </w:rPr>
            </w:pPr>
            <w:r>
              <w:rPr>
                <w:rFonts w:hint="default" w:cs="Arial"/>
                <w:lang w:eastAsia="en-US"/>
              </w:rPr>
              <w:t>9</w:t>
            </w:r>
          </w:p>
        </w:tc>
      </w:tr>
      <w:tr w14:paraId="57DA3D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7EECEB57">
            <w:pPr>
              <w:pStyle w:val="39"/>
              <w:suppressLineNumbers w:val="0"/>
              <w:spacing w:before="0" w:beforeAutospacing="0" w:afterAutospacing="0"/>
              <w:ind w:left="0" w:right="0"/>
              <w:rPr>
                <w:rFonts w:hint="default" w:cs="Arial"/>
                <w:lang w:eastAsia="en-US"/>
              </w:rPr>
            </w:pPr>
            <w:r>
              <w:rPr>
                <w:rFonts w:hint="default" w:cs="Arial"/>
                <w:lang w:eastAsia="en-US"/>
              </w:rPr>
              <w:t>Environment</w:t>
            </w:r>
          </w:p>
        </w:tc>
        <w:tc>
          <w:tcPr>
            <w:tcW w:w="1139" w:type="pct"/>
            <w:noWrap w:val="0"/>
            <w:vAlign w:val="center"/>
          </w:tcPr>
          <w:p w14:paraId="30E17663">
            <w:pPr>
              <w:pStyle w:val="39"/>
              <w:suppressLineNumbers w:val="0"/>
              <w:spacing w:before="0" w:beforeAutospacing="0" w:afterAutospacing="0"/>
              <w:ind w:left="0" w:right="0"/>
              <w:rPr>
                <w:rFonts w:hint="default" w:cs="Arial"/>
                <w:lang w:eastAsia="en-US"/>
              </w:rPr>
            </w:pPr>
            <w:r>
              <w:rPr>
                <w:rFonts w:hint="default" w:cs="Arial"/>
                <w:lang w:eastAsia="en-US"/>
              </w:rPr>
              <w:t>Urban macro</w:t>
            </w:r>
          </w:p>
        </w:tc>
        <w:tc>
          <w:tcPr>
            <w:tcW w:w="1139" w:type="pct"/>
            <w:noWrap w:val="0"/>
            <w:vAlign w:val="center"/>
          </w:tcPr>
          <w:p w14:paraId="3786BE6A">
            <w:pPr>
              <w:pStyle w:val="39"/>
              <w:suppressLineNumbers w:val="0"/>
              <w:spacing w:before="0" w:beforeAutospacing="0" w:afterAutospacing="0"/>
              <w:ind w:left="0" w:right="0"/>
              <w:rPr>
                <w:rFonts w:hint="default" w:cs="Arial"/>
                <w:lang w:eastAsia="en-US"/>
              </w:rPr>
            </w:pPr>
            <w:r>
              <w:rPr>
                <w:rFonts w:hint="default" w:cs="Arial"/>
                <w:lang w:eastAsia="en-US"/>
              </w:rPr>
              <w:t>Urban macro</w:t>
            </w:r>
          </w:p>
        </w:tc>
        <w:tc>
          <w:tcPr>
            <w:tcW w:w="1139" w:type="pct"/>
            <w:noWrap w:val="0"/>
            <w:vAlign w:val="center"/>
          </w:tcPr>
          <w:p w14:paraId="53A33928">
            <w:pPr>
              <w:pStyle w:val="39"/>
              <w:suppressLineNumbers w:val="0"/>
              <w:spacing w:before="0" w:beforeAutospacing="0" w:afterAutospacing="0"/>
              <w:ind w:left="0" w:right="0"/>
              <w:rPr>
                <w:rFonts w:hint="default" w:cs="Arial"/>
                <w:lang w:eastAsia="en-US"/>
              </w:rPr>
            </w:pPr>
            <w:r>
              <w:rPr>
                <w:rFonts w:hint="default" w:cs="Arial"/>
                <w:lang w:eastAsia="en-US"/>
              </w:rPr>
              <w:t>Urban macro</w:t>
            </w:r>
          </w:p>
        </w:tc>
      </w:tr>
      <w:tr w14:paraId="2254C7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06F0C1EA">
            <w:pPr>
              <w:pStyle w:val="39"/>
              <w:suppressLineNumbers w:val="0"/>
              <w:spacing w:before="0" w:beforeAutospacing="0" w:afterAutospacing="0"/>
              <w:ind w:left="0" w:right="0"/>
              <w:rPr>
                <w:rFonts w:hint="default" w:cs="Arial"/>
                <w:lang w:eastAsia="en-US"/>
              </w:rPr>
            </w:pPr>
            <w:r>
              <w:rPr>
                <w:rFonts w:hint="default" w:cs="Arial"/>
                <w:lang w:eastAsia="en-US"/>
              </w:rPr>
              <w:t>Network layout</w:t>
            </w:r>
          </w:p>
        </w:tc>
        <w:tc>
          <w:tcPr>
            <w:tcW w:w="1139" w:type="pct"/>
            <w:noWrap w:val="0"/>
            <w:vAlign w:val="top"/>
          </w:tcPr>
          <w:p w14:paraId="73A516EA">
            <w:pPr>
              <w:pStyle w:val="39"/>
              <w:suppressLineNumbers w:val="0"/>
              <w:spacing w:before="0" w:beforeAutospacing="0" w:afterAutospacing="0"/>
              <w:ind w:left="0" w:right="0"/>
              <w:rPr>
                <w:rFonts w:hint="default" w:cs="Arial"/>
                <w:lang w:eastAsia="en-US"/>
              </w:rPr>
            </w:pPr>
            <w:r>
              <w:rPr>
                <w:rFonts w:hint="default" w:cs="Arial"/>
                <w:lang w:eastAsia="en-US"/>
              </w:rPr>
              <w:t>19-sites [57 sectors] with wrap-around</w:t>
            </w:r>
          </w:p>
        </w:tc>
        <w:tc>
          <w:tcPr>
            <w:tcW w:w="1139" w:type="pct"/>
            <w:noWrap w:val="0"/>
            <w:vAlign w:val="top"/>
          </w:tcPr>
          <w:p w14:paraId="3006B729">
            <w:pPr>
              <w:pStyle w:val="39"/>
              <w:suppressLineNumbers w:val="0"/>
              <w:spacing w:before="0" w:beforeAutospacing="0" w:afterAutospacing="0"/>
              <w:ind w:left="0" w:right="0"/>
              <w:rPr>
                <w:rFonts w:hint="default" w:cs="Arial"/>
                <w:lang w:eastAsia="en-US"/>
              </w:rPr>
            </w:pPr>
            <w:r>
              <w:rPr>
                <w:rFonts w:hint="default" w:cs="Arial"/>
                <w:lang w:eastAsia="en-US"/>
              </w:rPr>
              <w:t>19-sites [57 sectors] with wrap-around</w:t>
            </w:r>
          </w:p>
        </w:tc>
        <w:tc>
          <w:tcPr>
            <w:tcW w:w="1139" w:type="pct"/>
            <w:noWrap w:val="0"/>
            <w:vAlign w:val="top"/>
          </w:tcPr>
          <w:p w14:paraId="5F4D5377">
            <w:pPr>
              <w:pStyle w:val="39"/>
              <w:suppressLineNumbers w:val="0"/>
              <w:spacing w:before="0" w:beforeAutospacing="0" w:afterAutospacing="0"/>
              <w:ind w:left="0" w:right="0"/>
              <w:rPr>
                <w:rFonts w:hint="default" w:cs="Arial"/>
                <w:lang w:eastAsia="en-US"/>
              </w:rPr>
            </w:pPr>
            <w:r>
              <w:rPr>
                <w:rFonts w:hint="default" w:cs="Arial"/>
                <w:lang w:eastAsia="en-US"/>
              </w:rPr>
              <w:t>19-sites [57 sectors] with wrap-around</w:t>
            </w:r>
          </w:p>
        </w:tc>
      </w:tr>
      <w:tr w14:paraId="7E191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657444E6">
            <w:pPr>
              <w:pStyle w:val="39"/>
              <w:suppressLineNumbers w:val="0"/>
              <w:spacing w:before="0" w:beforeAutospacing="0" w:afterAutospacing="0"/>
              <w:ind w:left="0" w:right="0"/>
              <w:rPr>
                <w:rFonts w:hint="default" w:cs="Arial"/>
                <w:lang w:eastAsia="en-US"/>
              </w:rPr>
            </w:pPr>
            <w:r>
              <w:rPr>
                <w:rFonts w:hint="default" w:cs="Arial"/>
                <w:lang w:eastAsia="en-US"/>
              </w:rPr>
              <w:t xml:space="preserve">Inter-site distance in </w:t>
            </w:r>
            <w:r>
              <w:rPr>
                <w:rFonts w:hint="default" w:cs="Arial"/>
                <w:i/>
                <w:lang w:eastAsia="en-US"/>
              </w:rPr>
              <w:t>meter</w:t>
            </w:r>
          </w:p>
        </w:tc>
        <w:tc>
          <w:tcPr>
            <w:tcW w:w="1139" w:type="pct"/>
            <w:noWrap w:val="0"/>
            <w:vAlign w:val="center"/>
          </w:tcPr>
          <w:p w14:paraId="6156D318">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500</w:t>
            </w:r>
          </w:p>
        </w:tc>
        <w:tc>
          <w:tcPr>
            <w:tcW w:w="1139" w:type="pct"/>
            <w:noWrap w:val="0"/>
            <w:vAlign w:val="center"/>
          </w:tcPr>
          <w:p w14:paraId="5420FDFD">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500</w:t>
            </w:r>
          </w:p>
        </w:tc>
        <w:tc>
          <w:tcPr>
            <w:tcW w:w="1139" w:type="pct"/>
            <w:noWrap w:val="0"/>
            <w:vAlign w:val="center"/>
          </w:tcPr>
          <w:p w14:paraId="14DCF5D4">
            <w:pPr>
              <w:pStyle w:val="39"/>
              <w:suppressLineNumbers w:val="0"/>
              <w:spacing w:before="0" w:beforeAutospacing="0" w:afterAutospacing="0"/>
              <w:ind w:left="0" w:right="0"/>
              <w:rPr>
                <w:rFonts w:hint="default" w:cs="Arial"/>
                <w:lang w:eastAsia="en-US"/>
              </w:rPr>
            </w:pPr>
            <w:r>
              <w:rPr>
                <w:rFonts w:hint="eastAsia" w:eastAsia="宋体" w:cs="Arial"/>
                <w:lang w:val="en-US" w:eastAsia="zh-CN"/>
              </w:rPr>
              <w:t>500</w:t>
            </w:r>
          </w:p>
        </w:tc>
      </w:tr>
      <w:tr w14:paraId="235BC7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3AE02DE6">
            <w:pPr>
              <w:pStyle w:val="39"/>
              <w:suppressLineNumbers w:val="0"/>
              <w:spacing w:before="0" w:beforeAutospacing="0" w:afterAutospacing="0"/>
              <w:ind w:left="0" w:right="0"/>
              <w:rPr>
                <w:rFonts w:hint="default" w:cs="Arial"/>
                <w:lang w:eastAsia="en-US"/>
              </w:rPr>
            </w:pPr>
            <w:r>
              <w:rPr>
                <w:rFonts w:hint="default" w:cs="Arial"/>
                <w:lang w:eastAsia="en-US"/>
              </w:rPr>
              <w:t>System loading and activity</w:t>
            </w:r>
          </w:p>
        </w:tc>
        <w:tc>
          <w:tcPr>
            <w:tcW w:w="1139" w:type="pct"/>
            <w:noWrap w:val="0"/>
            <w:vAlign w:val="center"/>
          </w:tcPr>
          <w:p w14:paraId="49BE2289">
            <w:pPr>
              <w:pStyle w:val="39"/>
              <w:suppressLineNumbers w:val="0"/>
              <w:spacing w:before="0" w:beforeAutospacing="0" w:afterAutospacing="0"/>
              <w:ind w:left="0" w:right="0"/>
              <w:rPr>
                <w:rFonts w:hint="default" w:cs="Arial"/>
                <w:lang w:eastAsia="en-US"/>
              </w:rPr>
            </w:pPr>
            <w:r>
              <w:rPr>
                <w:rFonts w:hint="default" w:cs="Arial"/>
                <w:lang w:eastAsia="en-US"/>
              </w:rPr>
              <w:t>Full buffer 100%</w:t>
            </w:r>
          </w:p>
        </w:tc>
        <w:tc>
          <w:tcPr>
            <w:tcW w:w="1139" w:type="pct"/>
            <w:noWrap w:val="0"/>
            <w:vAlign w:val="center"/>
          </w:tcPr>
          <w:p w14:paraId="1AE01E5F">
            <w:pPr>
              <w:pStyle w:val="39"/>
              <w:suppressLineNumbers w:val="0"/>
              <w:spacing w:before="0" w:beforeAutospacing="0" w:afterAutospacing="0"/>
              <w:ind w:left="0" w:right="0"/>
              <w:rPr>
                <w:rFonts w:hint="default" w:cs="Arial"/>
                <w:lang w:eastAsia="en-US"/>
              </w:rPr>
            </w:pPr>
            <w:r>
              <w:rPr>
                <w:rFonts w:hint="default" w:cs="Arial"/>
                <w:lang w:eastAsia="en-US"/>
              </w:rPr>
              <w:t>Full buffer 100%</w:t>
            </w:r>
          </w:p>
        </w:tc>
        <w:tc>
          <w:tcPr>
            <w:tcW w:w="1139" w:type="pct"/>
            <w:noWrap w:val="0"/>
            <w:vAlign w:val="center"/>
          </w:tcPr>
          <w:p w14:paraId="4BE80DB9">
            <w:pPr>
              <w:pStyle w:val="39"/>
              <w:suppressLineNumbers w:val="0"/>
              <w:spacing w:before="0" w:beforeAutospacing="0" w:afterAutospacing="0"/>
              <w:ind w:left="0" w:right="0"/>
              <w:rPr>
                <w:rFonts w:hint="default" w:cs="Arial"/>
                <w:lang w:eastAsia="en-US"/>
              </w:rPr>
            </w:pPr>
            <w:r>
              <w:rPr>
                <w:rFonts w:hint="default" w:cs="Arial"/>
                <w:lang w:eastAsia="en-US"/>
              </w:rPr>
              <w:t>Full buffer 100%</w:t>
            </w:r>
          </w:p>
        </w:tc>
      </w:tr>
      <w:tr w14:paraId="244A9B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28BB2A70">
            <w:pPr>
              <w:pStyle w:val="39"/>
              <w:suppressLineNumbers w:val="0"/>
              <w:spacing w:before="0" w:beforeAutospacing="0" w:afterAutospacing="0"/>
              <w:ind w:left="0" w:right="0"/>
              <w:rPr>
                <w:rFonts w:hint="default" w:cs="Arial"/>
                <w:lang w:eastAsia="en-US"/>
              </w:rPr>
            </w:pPr>
            <w:r>
              <w:rPr>
                <w:rFonts w:hint="default" w:cs="Arial"/>
                <w:lang w:eastAsia="en-US"/>
              </w:rPr>
              <w:t>Network location</w:t>
            </w:r>
          </w:p>
        </w:tc>
        <w:tc>
          <w:tcPr>
            <w:tcW w:w="1139" w:type="pct"/>
            <w:noWrap w:val="0"/>
            <w:vAlign w:val="center"/>
          </w:tcPr>
          <w:p w14:paraId="02B5484B">
            <w:pPr>
              <w:pStyle w:val="39"/>
              <w:suppressLineNumbers w:val="0"/>
              <w:spacing w:before="0" w:beforeAutospacing="0" w:afterAutospacing="0"/>
              <w:ind w:left="0" w:right="0"/>
              <w:rPr>
                <w:rFonts w:hint="default" w:cs="Arial"/>
                <w:lang w:eastAsia="en-US"/>
              </w:rPr>
            </w:pPr>
            <w:r>
              <w:rPr>
                <w:rFonts w:hint="default" w:cs="Arial"/>
                <w:lang w:eastAsia="en-US"/>
              </w:rPr>
              <w:t>Non co-located (at cell edge of legacy)</w:t>
            </w:r>
          </w:p>
        </w:tc>
        <w:tc>
          <w:tcPr>
            <w:tcW w:w="1139" w:type="pct"/>
            <w:noWrap w:val="0"/>
            <w:vAlign w:val="center"/>
          </w:tcPr>
          <w:p w14:paraId="07522E51">
            <w:pPr>
              <w:pStyle w:val="39"/>
              <w:suppressLineNumbers w:val="0"/>
              <w:spacing w:before="0" w:beforeAutospacing="0" w:afterAutospacing="0"/>
              <w:ind w:left="0" w:right="0"/>
              <w:rPr>
                <w:rFonts w:hint="default" w:eastAsia="宋体" w:cs="Arial"/>
                <w:lang w:val="en-US" w:eastAsia="zh-CN"/>
              </w:rPr>
            </w:pPr>
            <w:r>
              <w:rPr>
                <w:rFonts w:hint="default" w:cs="Arial"/>
                <w:lang w:eastAsia="en-US"/>
              </w:rPr>
              <w:t xml:space="preserve">Co-located with </w:t>
            </w:r>
            <w:r>
              <w:rPr>
                <w:rFonts w:hint="eastAsia" w:eastAsia="宋体" w:cs="Arial"/>
                <w:lang w:val="en-US" w:eastAsia="zh-CN"/>
              </w:rPr>
              <w:t>NR</w:t>
            </w:r>
          </w:p>
        </w:tc>
        <w:tc>
          <w:tcPr>
            <w:tcW w:w="1139" w:type="pct"/>
            <w:noWrap w:val="0"/>
            <w:vAlign w:val="center"/>
          </w:tcPr>
          <w:p w14:paraId="41B23917">
            <w:pPr>
              <w:pStyle w:val="39"/>
              <w:suppressLineNumbers w:val="0"/>
              <w:spacing w:before="0" w:beforeAutospacing="0" w:afterAutospacing="0"/>
              <w:ind w:left="0" w:right="0"/>
              <w:rPr>
                <w:rFonts w:hint="default" w:eastAsia="宋体" w:cs="Arial"/>
                <w:lang w:val="en-US" w:eastAsia="zh-CN"/>
              </w:rPr>
            </w:pPr>
            <w:r>
              <w:rPr>
                <w:rFonts w:hint="default" w:cs="Arial"/>
                <w:lang w:eastAsia="en-US"/>
              </w:rPr>
              <w:t>Co-located</w:t>
            </w:r>
            <w:r>
              <w:rPr>
                <w:rFonts w:hint="eastAsia" w:eastAsia="宋体" w:cs="Arial"/>
                <w:lang w:val="en-US" w:eastAsia="zh-CN"/>
              </w:rPr>
              <w:t xml:space="preserve"> with A-IoT</w:t>
            </w:r>
          </w:p>
        </w:tc>
      </w:tr>
      <w:tr w14:paraId="068B8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3B913244">
            <w:pPr>
              <w:pStyle w:val="39"/>
              <w:suppressLineNumbers w:val="0"/>
              <w:spacing w:before="0" w:beforeAutospacing="0" w:afterAutospacing="0"/>
              <w:ind w:left="0" w:right="0"/>
              <w:rPr>
                <w:rFonts w:hint="default" w:cs="Arial"/>
                <w:lang w:eastAsia="en-US"/>
              </w:rPr>
            </w:pPr>
            <w:r>
              <w:rPr>
                <w:rFonts w:hint="default" w:cs="Arial"/>
                <w:lang w:eastAsia="en-US"/>
              </w:rPr>
              <w:t>DL subcarrier spacing</w:t>
            </w:r>
          </w:p>
        </w:tc>
        <w:tc>
          <w:tcPr>
            <w:tcW w:w="1139" w:type="pct"/>
            <w:noWrap w:val="0"/>
            <w:vAlign w:val="center"/>
          </w:tcPr>
          <w:p w14:paraId="32DE9BB1">
            <w:pPr>
              <w:pStyle w:val="39"/>
              <w:suppressLineNumbers w:val="0"/>
              <w:spacing w:before="0" w:beforeAutospacing="0" w:afterAutospacing="0"/>
              <w:ind w:left="0" w:right="0"/>
              <w:rPr>
                <w:rFonts w:hint="default" w:cs="Arial"/>
                <w:lang w:eastAsia="en-US"/>
              </w:rPr>
            </w:pPr>
            <w:r>
              <w:rPr>
                <w:rFonts w:hint="default" w:cs="Arial"/>
                <w:lang w:eastAsia="en-US"/>
              </w:rPr>
              <w:t>15kHz</w:t>
            </w:r>
          </w:p>
        </w:tc>
        <w:tc>
          <w:tcPr>
            <w:tcW w:w="1139" w:type="pct"/>
            <w:noWrap w:val="0"/>
            <w:vAlign w:val="center"/>
          </w:tcPr>
          <w:p w14:paraId="708A3112">
            <w:pPr>
              <w:pStyle w:val="39"/>
              <w:suppressLineNumbers w:val="0"/>
              <w:spacing w:before="0" w:beforeAutospacing="0" w:afterAutospacing="0"/>
              <w:ind w:left="0" w:right="0"/>
              <w:rPr>
                <w:rFonts w:hint="default" w:cs="Arial"/>
                <w:lang w:eastAsia="en-US"/>
              </w:rPr>
            </w:pPr>
            <w:r>
              <w:rPr>
                <w:rFonts w:hint="default" w:cs="Arial"/>
                <w:lang w:eastAsia="en-US"/>
              </w:rPr>
              <w:t>15kHz</w:t>
            </w:r>
          </w:p>
        </w:tc>
        <w:tc>
          <w:tcPr>
            <w:tcW w:w="1139" w:type="pct"/>
            <w:noWrap w:val="0"/>
            <w:vAlign w:val="center"/>
          </w:tcPr>
          <w:p w14:paraId="045DB969">
            <w:pPr>
              <w:pStyle w:val="39"/>
              <w:suppressLineNumbers w:val="0"/>
              <w:spacing w:before="0" w:beforeAutospacing="0" w:afterAutospacing="0"/>
              <w:ind w:left="0" w:right="0"/>
              <w:rPr>
                <w:rFonts w:hint="default" w:cs="Arial"/>
                <w:lang w:eastAsia="en-US"/>
              </w:rPr>
            </w:pPr>
            <w:r>
              <w:rPr>
                <w:rFonts w:hint="default" w:cs="Arial"/>
                <w:lang w:eastAsia="en-US"/>
              </w:rPr>
              <w:t>15kHz</w:t>
            </w:r>
          </w:p>
        </w:tc>
      </w:tr>
      <w:tr w14:paraId="63EE6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30D01ED5">
            <w:pPr>
              <w:pStyle w:val="39"/>
              <w:suppressLineNumbers w:val="0"/>
              <w:spacing w:before="0" w:beforeAutospacing="0" w:afterAutospacing="0"/>
              <w:ind w:left="0" w:right="0"/>
              <w:rPr>
                <w:rFonts w:hint="default" w:cs="Arial"/>
                <w:lang w:eastAsia="en-US"/>
              </w:rPr>
            </w:pPr>
            <w:r>
              <w:rPr>
                <w:rFonts w:hint="default" w:cs="Arial"/>
                <w:lang w:eastAsia="en-US"/>
              </w:rPr>
              <w:t>UL</w:t>
            </w:r>
          </w:p>
        </w:tc>
        <w:tc>
          <w:tcPr>
            <w:tcW w:w="1139" w:type="pct"/>
            <w:noWrap w:val="0"/>
            <w:vAlign w:val="center"/>
          </w:tcPr>
          <w:p w14:paraId="62082F00">
            <w:pPr>
              <w:pStyle w:val="39"/>
              <w:suppressLineNumbers w:val="0"/>
              <w:spacing w:before="0" w:beforeAutospacing="0" w:afterAutospacing="0"/>
              <w:ind w:left="0" w:right="0"/>
              <w:rPr>
                <w:rFonts w:hint="default" w:cs="Arial"/>
                <w:lang w:val="en-US" w:eastAsia="zh-CN"/>
              </w:rPr>
            </w:pPr>
            <w:r>
              <w:rPr>
                <w:rFonts w:hint="eastAsia" w:eastAsia="宋体" w:cs="Arial"/>
                <w:lang w:val="en-US" w:eastAsia="zh-CN"/>
              </w:rPr>
              <w:t xml:space="preserve">Follow the assumption in </w:t>
            </w:r>
            <w:r>
              <w:rPr>
                <w:rFonts w:hint="default" w:cs="Arial"/>
                <w:lang w:eastAsia="en-US"/>
              </w:rPr>
              <w:t>TS </w:t>
            </w:r>
            <w:r>
              <w:rPr>
                <w:rFonts w:hint="default" w:cs="Arial"/>
                <w:lang w:eastAsia="en-US"/>
              </w:rPr>
              <w:fldChar w:fldCharType="begin"/>
            </w:r>
            <w:r>
              <w:rPr>
                <w:rFonts w:hint="default" w:cs="Arial"/>
                <w:lang w:eastAsia="en-US"/>
              </w:rPr>
              <w:instrText xml:space="preserve"> HYPERLINK "https://www.3gpp.org/DynaReport/38191.htm" \t "https://www.3gpp.org/_blank" </w:instrText>
            </w:r>
            <w:r>
              <w:rPr>
                <w:rFonts w:hint="default" w:cs="Arial"/>
                <w:lang w:eastAsia="en-US"/>
              </w:rPr>
              <w:fldChar w:fldCharType="separate"/>
            </w:r>
            <w:r>
              <w:rPr>
                <w:rFonts w:hint="default" w:cs="Arial"/>
                <w:lang w:eastAsia="en-US"/>
              </w:rPr>
              <w:t>38.191</w:t>
            </w:r>
            <w:r>
              <w:rPr>
                <w:rFonts w:hint="default" w:cs="Arial"/>
                <w:lang w:eastAsia="en-US"/>
              </w:rPr>
              <w:fldChar w:fldCharType="end"/>
            </w:r>
          </w:p>
        </w:tc>
        <w:tc>
          <w:tcPr>
            <w:tcW w:w="1139" w:type="pct"/>
            <w:noWrap w:val="0"/>
            <w:vAlign w:val="center"/>
          </w:tcPr>
          <w:p w14:paraId="781F60DA">
            <w:pPr>
              <w:pStyle w:val="39"/>
              <w:suppressLineNumbers w:val="0"/>
              <w:spacing w:before="0" w:beforeAutospacing="0" w:afterAutospacing="0"/>
              <w:ind w:left="0" w:right="0"/>
              <w:rPr>
                <w:rFonts w:hint="eastAsia" w:cs="Arial"/>
                <w:lang w:eastAsia="zh-CN"/>
              </w:rPr>
            </w:pPr>
            <w:r>
              <w:rPr>
                <w:rFonts w:hint="eastAsia" w:eastAsia="宋体" w:cs="Arial"/>
                <w:lang w:val="en-US" w:eastAsia="zh-CN"/>
              </w:rPr>
              <w:t xml:space="preserve">Follow the assumption in </w:t>
            </w:r>
            <w:r>
              <w:rPr>
                <w:rFonts w:hint="default" w:cs="Arial"/>
                <w:lang w:eastAsia="en-US"/>
              </w:rPr>
              <w:t>TS </w:t>
            </w:r>
            <w:r>
              <w:rPr>
                <w:rFonts w:hint="default" w:cs="Arial"/>
                <w:lang w:eastAsia="en-US"/>
              </w:rPr>
              <w:fldChar w:fldCharType="begin"/>
            </w:r>
            <w:r>
              <w:rPr>
                <w:rFonts w:hint="default" w:cs="Arial"/>
                <w:lang w:eastAsia="en-US"/>
              </w:rPr>
              <w:instrText xml:space="preserve"> HYPERLINK "https://www.3gpp.org/DynaReport/38191.htm" \t "https://www.3gpp.org/_blank" </w:instrText>
            </w:r>
            <w:r>
              <w:rPr>
                <w:rFonts w:hint="default" w:cs="Arial"/>
                <w:lang w:eastAsia="en-US"/>
              </w:rPr>
              <w:fldChar w:fldCharType="separate"/>
            </w:r>
            <w:r>
              <w:rPr>
                <w:rFonts w:hint="default" w:cs="Arial"/>
                <w:lang w:eastAsia="en-US"/>
              </w:rPr>
              <w:t>38.191</w:t>
            </w:r>
            <w:r>
              <w:rPr>
                <w:rFonts w:hint="default" w:cs="Arial"/>
                <w:lang w:eastAsia="en-US"/>
              </w:rPr>
              <w:fldChar w:fldCharType="end"/>
            </w:r>
          </w:p>
        </w:tc>
        <w:tc>
          <w:tcPr>
            <w:tcW w:w="1139" w:type="pct"/>
            <w:noWrap w:val="0"/>
            <w:vAlign w:val="center"/>
          </w:tcPr>
          <w:p w14:paraId="2B69F00E">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CP-OFDM</w:t>
            </w:r>
          </w:p>
        </w:tc>
      </w:tr>
      <w:tr w14:paraId="2757D5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2C69D252">
            <w:pPr>
              <w:pStyle w:val="39"/>
              <w:suppressLineNumbers w:val="0"/>
              <w:spacing w:before="0" w:beforeAutospacing="0" w:afterAutospacing="0"/>
              <w:ind w:left="0" w:right="0"/>
              <w:rPr>
                <w:rFonts w:hint="default" w:cs="Arial"/>
                <w:lang w:eastAsia="en-US"/>
              </w:rPr>
            </w:pPr>
            <w:r>
              <w:rPr>
                <w:rFonts w:hint="default" w:cs="Arial"/>
                <w:lang w:eastAsia="en-US"/>
              </w:rPr>
              <w:t>DL power control</w:t>
            </w:r>
          </w:p>
        </w:tc>
        <w:tc>
          <w:tcPr>
            <w:tcW w:w="1139" w:type="pct"/>
            <w:noWrap w:val="0"/>
            <w:vAlign w:val="center"/>
          </w:tcPr>
          <w:p w14:paraId="47B5EB00">
            <w:pPr>
              <w:pStyle w:val="39"/>
              <w:suppressLineNumbers w:val="0"/>
              <w:spacing w:before="0" w:beforeAutospacing="0" w:afterAutospacing="0"/>
              <w:ind w:left="0" w:right="0"/>
              <w:rPr>
                <w:rFonts w:hint="default" w:cs="Arial"/>
                <w:lang w:eastAsia="en-US"/>
              </w:rPr>
            </w:pPr>
            <w:r>
              <w:rPr>
                <w:rFonts w:hint="default" w:cs="Arial"/>
                <w:lang w:eastAsia="en-US"/>
              </w:rPr>
              <w:t>No</w:t>
            </w:r>
          </w:p>
        </w:tc>
        <w:tc>
          <w:tcPr>
            <w:tcW w:w="1139" w:type="pct"/>
            <w:noWrap w:val="0"/>
            <w:vAlign w:val="center"/>
          </w:tcPr>
          <w:p w14:paraId="3C60E548">
            <w:pPr>
              <w:pStyle w:val="39"/>
              <w:suppressLineNumbers w:val="0"/>
              <w:spacing w:before="0" w:beforeAutospacing="0" w:afterAutospacing="0"/>
              <w:ind w:left="0" w:right="0"/>
              <w:rPr>
                <w:rFonts w:hint="default" w:cs="Arial"/>
                <w:lang w:eastAsia="en-US"/>
              </w:rPr>
            </w:pPr>
            <w:r>
              <w:rPr>
                <w:rFonts w:hint="default" w:cs="Arial"/>
                <w:lang w:eastAsia="en-US"/>
              </w:rPr>
              <w:t>No</w:t>
            </w:r>
          </w:p>
        </w:tc>
        <w:tc>
          <w:tcPr>
            <w:tcW w:w="1139" w:type="pct"/>
            <w:noWrap w:val="0"/>
            <w:vAlign w:val="center"/>
          </w:tcPr>
          <w:p w14:paraId="7A3C0EEC">
            <w:pPr>
              <w:pStyle w:val="39"/>
              <w:suppressLineNumbers w:val="0"/>
              <w:spacing w:before="0" w:beforeAutospacing="0" w:afterAutospacing="0"/>
              <w:ind w:left="0" w:right="0"/>
              <w:rPr>
                <w:rFonts w:hint="default" w:cs="Arial"/>
                <w:lang w:eastAsia="en-US"/>
              </w:rPr>
            </w:pPr>
            <w:r>
              <w:rPr>
                <w:rFonts w:hint="default" w:cs="Arial"/>
                <w:lang w:eastAsia="en-US"/>
              </w:rPr>
              <w:t>No</w:t>
            </w:r>
          </w:p>
        </w:tc>
      </w:tr>
      <w:tr w14:paraId="53B829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39F914BD">
            <w:pPr>
              <w:pStyle w:val="39"/>
              <w:suppressLineNumbers w:val="0"/>
              <w:spacing w:before="0" w:beforeAutospacing="0" w:afterAutospacing="0"/>
              <w:ind w:left="0" w:right="0"/>
              <w:rPr>
                <w:rFonts w:hint="default" w:cs="Arial"/>
                <w:lang w:eastAsia="en-US"/>
              </w:rPr>
            </w:pPr>
            <w:r>
              <w:rPr>
                <w:rFonts w:hint="default" w:cs="Arial"/>
                <w:lang w:eastAsia="en-US"/>
              </w:rPr>
              <w:t>UL power control</w:t>
            </w:r>
          </w:p>
        </w:tc>
        <w:tc>
          <w:tcPr>
            <w:tcW w:w="1139" w:type="pct"/>
            <w:noWrap w:val="0"/>
            <w:vAlign w:val="center"/>
          </w:tcPr>
          <w:p w14:paraId="5E92F3C0">
            <w:pPr>
              <w:pStyle w:val="39"/>
              <w:suppressLineNumbers w:val="0"/>
              <w:spacing w:before="0" w:beforeAutospacing="0" w:afterAutospacing="0"/>
              <w:ind w:left="0" w:right="0"/>
              <w:rPr>
                <w:rFonts w:hint="eastAsia" w:eastAsia="宋体" w:cs="Arial"/>
                <w:sz w:val="16"/>
                <w:szCs w:val="16"/>
                <w:lang w:val="en-US" w:eastAsia="zh-CN"/>
              </w:rPr>
            </w:pPr>
            <w:r>
              <w:rPr>
                <w:rFonts w:hint="eastAsia" w:eastAsia="宋体" w:cs="Arial"/>
                <w:sz w:val="16"/>
                <w:szCs w:val="16"/>
                <w:lang w:val="en-US" w:eastAsia="zh-CN"/>
              </w:rPr>
              <w:t>TBD</w:t>
            </w:r>
          </w:p>
          <w:p w14:paraId="69E2002E">
            <w:pPr>
              <w:pStyle w:val="39"/>
              <w:suppressLineNumbers w:val="0"/>
              <w:spacing w:before="0" w:beforeAutospacing="0" w:afterAutospacing="0"/>
              <w:ind w:left="0" w:right="0"/>
              <w:rPr>
                <w:rFonts w:hint="default" w:eastAsia="宋体" w:cs="Arial"/>
                <w:sz w:val="16"/>
                <w:szCs w:val="16"/>
                <w:lang w:val="en-US" w:eastAsia="zh-CN"/>
              </w:rPr>
            </w:pPr>
            <w:r>
              <w:rPr>
                <w:rFonts w:hint="eastAsia" w:eastAsia="宋体" w:cs="Arial"/>
                <w:sz w:val="16"/>
                <w:szCs w:val="16"/>
                <w:lang w:val="en-US" w:eastAsia="zh-CN"/>
              </w:rPr>
              <w:t>Since no DL RSRP measurement is expected for Device 2b and C</w:t>
            </w:r>
          </w:p>
        </w:tc>
        <w:tc>
          <w:tcPr>
            <w:tcW w:w="1139" w:type="pct"/>
            <w:noWrap w:val="0"/>
            <w:vAlign w:val="center"/>
          </w:tcPr>
          <w:p w14:paraId="2C7FCB95">
            <w:pPr>
              <w:pStyle w:val="39"/>
              <w:suppressLineNumbers w:val="0"/>
              <w:spacing w:before="0" w:beforeAutospacing="0" w:afterAutospacing="0"/>
              <w:ind w:left="0" w:right="0"/>
              <w:rPr>
                <w:rFonts w:hint="eastAsia" w:eastAsia="宋体" w:cs="Arial"/>
                <w:sz w:val="16"/>
                <w:szCs w:val="16"/>
                <w:lang w:val="en-US" w:eastAsia="zh-CN"/>
              </w:rPr>
            </w:pPr>
            <w:r>
              <w:rPr>
                <w:rFonts w:hint="eastAsia" w:eastAsia="宋体" w:cs="Arial"/>
                <w:sz w:val="16"/>
                <w:szCs w:val="16"/>
                <w:lang w:val="en-US" w:eastAsia="zh-CN"/>
              </w:rPr>
              <w:t>TBD</w:t>
            </w:r>
          </w:p>
          <w:p w14:paraId="2A602E4C">
            <w:pPr>
              <w:pStyle w:val="39"/>
              <w:suppressLineNumbers w:val="0"/>
              <w:spacing w:before="0" w:beforeAutospacing="0" w:afterAutospacing="0"/>
              <w:ind w:left="0" w:right="0"/>
              <w:rPr>
                <w:rFonts w:hint="eastAsia" w:eastAsia="宋体" w:cs="Arial"/>
                <w:sz w:val="16"/>
                <w:szCs w:val="16"/>
                <w:lang w:val="en-US" w:eastAsia="zh-CN"/>
              </w:rPr>
            </w:pPr>
            <w:r>
              <w:rPr>
                <w:rFonts w:hint="eastAsia" w:eastAsia="宋体" w:cs="Arial"/>
                <w:sz w:val="16"/>
                <w:szCs w:val="16"/>
                <w:lang w:val="en-US" w:eastAsia="zh-CN"/>
              </w:rPr>
              <w:t>Since no DL RSRP measurement is expected for Device 2b and C</w:t>
            </w:r>
          </w:p>
        </w:tc>
        <w:tc>
          <w:tcPr>
            <w:tcW w:w="1139" w:type="pct"/>
            <w:noWrap w:val="0"/>
            <w:vAlign w:val="center"/>
          </w:tcPr>
          <w:p w14:paraId="71DB0191">
            <w:pPr>
              <w:pStyle w:val="39"/>
              <w:suppressLineNumbers w:val="0"/>
              <w:spacing w:before="0" w:beforeAutospacing="0" w:afterAutospacing="0"/>
              <w:ind w:left="0" w:right="0"/>
              <w:rPr>
                <w:rFonts w:hint="default" w:cs="Arial"/>
                <w:sz w:val="16"/>
                <w:szCs w:val="16"/>
                <w:lang w:eastAsia="en-US"/>
              </w:rPr>
            </w:pPr>
          </w:p>
        </w:tc>
      </w:tr>
      <w:tr w14:paraId="129B16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335391D0">
            <w:pPr>
              <w:pStyle w:val="39"/>
              <w:suppressLineNumbers w:val="0"/>
              <w:spacing w:before="0" w:beforeAutospacing="0" w:afterAutospacing="0"/>
              <w:ind w:left="0" w:right="0"/>
              <w:rPr>
                <w:rFonts w:hint="default" w:cs="Arial"/>
                <w:lang w:eastAsia="en-US"/>
              </w:rPr>
            </w:pPr>
            <w:r>
              <w:rPr>
                <w:rFonts w:hint="default" w:cs="Arial"/>
                <w:lang w:eastAsia="en-US"/>
              </w:rPr>
              <w:t>Frequency reuse</w:t>
            </w:r>
          </w:p>
        </w:tc>
        <w:tc>
          <w:tcPr>
            <w:tcW w:w="1139" w:type="pct"/>
            <w:noWrap w:val="0"/>
            <w:vAlign w:val="center"/>
          </w:tcPr>
          <w:p w14:paraId="16941481">
            <w:pPr>
              <w:pStyle w:val="39"/>
              <w:suppressLineNumbers w:val="0"/>
              <w:spacing w:before="0" w:beforeAutospacing="0" w:afterAutospacing="0"/>
              <w:ind w:left="0" w:right="0"/>
              <w:rPr>
                <w:rFonts w:hint="default" w:cs="Arial"/>
                <w:lang w:eastAsia="en-US"/>
              </w:rPr>
            </w:pPr>
            <w:r>
              <w:rPr>
                <w:rFonts w:hint="default" w:cs="Arial"/>
                <w:lang w:eastAsia="en-US"/>
              </w:rPr>
              <w:t>1</w:t>
            </w:r>
          </w:p>
        </w:tc>
        <w:tc>
          <w:tcPr>
            <w:tcW w:w="1139" w:type="pct"/>
            <w:noWrap w:val="0"/>
            <w:vAlign w:val="center"/>
          </w:tcPr>
          <w:p w14:paraId="20E53285">
            <w:pPr>
              <w:pStyle w:val="39"/>
              <w:suppressLineNumbers w:val="0"/>
              <w:spacing w:before="0" w:beforeAutospacing="0" w:afterAutospacing="0"/>
              <w:ind w:left="0" w:right="0"/>
              <w:rPr>
                <w:rFonts w:hint="default" w:cs="Arial"/>
                <w:lang w:eastAsia="en-US"/>
              </w:rPr>
            </w:pPr>
            <w:r>
              <w:rPr>
                <w:rFonts w:hint="default" w:cs="Arial"/>
                <w:lang w:eastAsia="en-US"/>
              </w:rPr>
              <w:t>1</w:t>
            </w:r>
          </w:p>
        </w:tc>
        <w:tc>
          <w:tcPr>
            <w:tcW w:w="1139" w:type="pct"/>
            <w:noWrap w:val="0"/>
            <w:vAlign w:val="center"/>
          </w:tcPr>
          <w:p w14:paraId="7C9FC6D6">
            <w:pPr>
              <w:pStyle w:val="39"/>
              <w:suppressLineNumbers w:val="0"/>
              <w:spacing w:before="0" w:beforeAutospacing="0" w:afterAutospacing="0"/>
              <w:ind w:left="0" w:right="0"/>
              <w:rPr>
                <w:rFonts w:hint="default" w:cs="Arial"/>
                <w:lang w:eastAsia="en-US"/>
              </w:rPr>
            </w:pPr>
            <w:r>
              <w:rPr>
                <w:rFonts w:hint="default" w:cs="Arial"/>
                <w:lang w:eastAsia="en-US"/>
              </w:rPr>
              <w:t>1</w:t>
            </w:r>
          </w:p>
        </w:tc>
      </w:tr>
      <w:tr w14:paraId="44D500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241A8DC0">
            <w:pPr>
              <w:pStyle w:val="39"/>
              <w:suppressLineNumbers w:val="0"/>
              <w:spacing w:before="0" w:beforeAutospacing="0" w:afterAutospacing="0"/>
              <w:ind w:left="0" w:right="0"/>
              <w:rPr>
                <w:rFonts w:hint="default" w:cs="Arial"/>
                <w:lang w:eastAsia="en-US"/>
              </w:rPr>
            </w:pPr>
            <w:r>
              <w:rPr>
                <w:rFonts w:hint="default" w:cs="Arial"/>
                <w:lang w:eastAsia="en-US"/>
              </w:rPr>
              <w:t>Number of scheduled UE per cell (DL)</w:t>
            </w:r>
          </w:p>
        </w:tc>
        <w:tc>
          <w:tcPr>
            <w:tcW w:w="1139" w:type="pct"/>
            <w:noWrap w:val="0"/>
            <w:vAlign w:val="center"/>
          </w:tcPr>
          <w:p w14:paraId="5B7C0AD5">
            <w:pPr>
              <w:pStyle w:val="39"/>
              <w:suppressLineNumbers w:val="0"/>
              <w:spacing w:before="0" w:beforeAutospacing="0" w:afterAutospacing="0"/>
              <w:ind w:left="0" w:right="0"/>
              <w:rPr>
                <w:rFonts w:hint="default" w:cs="Arial"/>
                <w:lang w:eastAsia="en-US"/>
              </w:rPr>
            </w:pPr>
            <w:r>
              <w:rPr>
                <w:rFonts w:hint="default" w:cs="Arial"/>
                <w:lang w:eastAsia="en-US"/>
              </w:rPr>
              <w:t>1</w:t>
            </w:r>
          </w:p>
        </w:tc>
        <w:tc>
          <w:tcPr>
            <w:tcW w:w="1139" w:type="pct"/>
            <w:noWrap w:val="0"/>
            <w:vAlign w:val="center"/>
          </w:tcPr>
          <w:p w14:paraId="2C21F94B">
            <w:pPr>
              <w:pStyle w:val="39"/>
              <w:suppressLineNumbers w:val="0"/>
              <w:spacing w:before="0" w:beforeAutospacing="0" w:afterAutospacing="0"/>
              <w:ind w:left="0" w:right="0"/>
              <w:rPr>
                <w:rFonts w:hint="default" w:cs="Arial"/>
                <w:lang w:eastAsia="en-US"/>
              </w:rPr>
            </w:pPr>
            <w:r>
              <w:rPr>
                <w:rFonts w:hint="default" w:cs="Arial"/>
                <w:lang w:eastAsia="en-US"/>
              </w:rPr>
              <w:t>1</w:t>
            </w:r>
          </w:p>
        </w:tc>
        <w:tc>
          <w:tcPr>
            <w:tcW w:w="1139" w:type="pct"/>
            <w:noWrap w:val="0"/>
            <w:vAlign w:val="center"/>
          </w:tcPr>
          <w:p w14:paraId="2D654ED5">
            <w:pPr>
              <w:pStyle w:val="39"/>
              <w:suppressLineNumbers w:val="0"/>
              <w:spacing w:before="0" w:beforeAutospacing="0" w:afterAutospacing="0"/>
              <w:ind w:left="0" w:right="0"/>
              <w:rPr>
                <w:rFonts w:hint="default" w:cs="Arial"/>
                <w:lang w:eastAsia="en-US"/>
              </w:rPr>
            </w:pPr>
            <w:r>
              <w:rPr>
                <w:rFonts w:hint="default" w:cs="Arial"/>
                <w:lang w:eastAsia="en-US"/>
              </w:rPr>
              <w:t>1</w:t>
            </w:r>
          </w:p>
        </w:tc>
      </w:tr>
      <w:tr w14:paraId="15E2D7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1B6789E1">
            <w:pPr>
              <w:pStyle w:val="39"/>
              <w:suppressLineNumbers w:val="0"/>
              <w:spacing w:before="0" w:beforeAutospacing="0" w:afterAutospacing="0"/>
              <w:ind w:left="0" w:right="0"/>
              <w:rPr>
                <w:rFonts w:hint="default" w:cs="Arial"/>
                <w:lang w:eastAsia="en-US"/>
              </w:rPr>
            </w:pPr>
            <w:r>
              <w:rPr>
                <w:rFonts w:hint="default" w:cs="Arial"/>
                <w:lang w:eastAsia="en-US"/>
              </w:rPr>
              <w:t>Number of scheduled UE per cell (UL)</w:t>
            </w:r>
          </w:p>
        </w:tc>
        <w:tc>
          <w:tcPr>
            <w:tcW w:w="1139" w:type="pct"/>
            <w:noWrap w:val="0"/>
            <w:vAlign w:val="center"/>
          </w:tcPr>
          <w:p w14:paraId="506C8042">
            <w:pPr>
              <w:pStyle w:val="39"/>
              <w:suppressLineNumbers w:val="0"/>
              <w:spacing w:before="0" w:beforeAutospacing="0" w:afterAutospacing="0"/>
              <w:ind w:left="0" w:right="0"/>
              <w:rPr>
                <w:rFonts w:hint="default" w:cs="Arial"/>
                <w:lang w:val="en-US" w:eastAsia="zh-CN"/>
              </w:rPr>
            </w:pPr>
            <w:r>
              <w:rPr>
                <w:rFonts w:hint="eastAsia" w:cs="Arial"/>
                <w:lang w:val="en-US" w:eastAsia="zh-CN"/>
              </w:rPr>
              <w:t>TBD</w:t>
            </w:r>
          </w:p>
        </w:tc>
        <w:tc>
          <w:tcPr>
            <w:tcW w:w="1139" w:type="pct"/>
            <w:noWrap w:val="0"/>
            <w:vAlign w:val="center"/>
          </w:tcPr>
          <w:p w14:paraId="4E4DC047">
            <w:pPr>
              <w:pStyle w:val="39"/>
              <w:suppressLineNumbers w:val="0"/>
              <w:spacing w:before="0" w:beforeAutospacing="0" w:afterAutospacing="0"/>
              <w:ind w:left="0" w:right="0"/>
              <w:rPr>
                <w:rFonts w:hint="default" w:cs="Arial"/>
                <w:lang w:eastAsia="en-US"/>
              </w:rPr>
            </w:pPr>
            <w:r>
              <w:rPr>
                <w:rFonts w:hint="eastAsia" w:cs="Arial"/>
                <w:lang w:val="en-US" w:eastAsia="zh-CN"/>
              </w:rPr>
              <w:t>TBD</w:t>
            </w:r>
          </w:p>
        </w:tc>
        <w:tc>
          <w:tcPr>
            <w:tcW w:w="1139" w:type="pct"/>
            <w:noWrap w:val="0"/>
            <w:vAlign w:val="center"/>
          </w:tcPr>
          <w:p w14:paraId="51A668C0">
            <w:pPr>
              <w:pStyle w:val="39"/>
              <w:suppressLineNumbers w:val="0"/>
              <w:spacing w:before="0" w:beforeAutospacing="0" w:afterAutospacing="0"/>
              <w:ind w:left="0" w:right="0"/>
              <w:rPr>
                <w:rFonts w:hint="default" w:cs="Arial"/>
                <w:lang w:eastAsia="en-US"/>
              </w:rPr>
            </w:pPr>
            <w:r>
              <w:rPr>
                <w:rFonts w:hint="default" w:cs="Arial"/>
                <w:lang w:eastAsia="en-US"/>
              </w:rPr>
              <w:t>3</w:t>
            </w:r>
          </w:p>
        </w:tc>
      </w:tr>
      <w:tr w14:paraId="22A890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07085485">
            <w:pPr>
              <w:pStyle w:val="39"/>
              <w:suppressLineNumbers w:val="0"/>
              <w:spacing w:before="0" w:beforeAutospacing="0" w:afterAutospacing="0"/>
              <w:ind w:left="0" w:right="0"/>
              <w:rPr>
                <w:rFonts w:hint="default" w:cs="Arial"/>
                <w:lang w:eastAsia="en-US"/>
              </w:rPr>
            </w:pPr>
            <w:r>
              <w:rPr>
                <w:rFonts w:hint="default" w:cs="Arial"/>
                <w:lang w:eastAsia="en-US"/>
              </w:rPr>
              <w:t xml:space="preserve">BS antenna height in </w:t>
            </w:r>
            <w:r>
              <w:rPr>
                <w:rFonts w:hint="default" w:cs="Arial"/>
                <w:i/>
                <w:lang w:eastAsia="en-US"/>
              </w:rPr>
              <w:t>meter</w:t>
            </w:r>
          </w:p>
        </w:tc>
        <w:tc>
          <w:tcPr>
            <w:tcW w:w="1139" w:type="pct"/>
            <w:noWrap w:val="0"/>
            <w:vAlign w:val="center"/>
          </w:tcPr>
          <w:p w14:paraId="4F51C627">
            <w:pPr>
              <w:pStyle w:val="39"/>
              <w:suppressLineNumbers w:val="0"/>
              <w:spacing w:before="0" w:beforeAutospacing="0" w:afterAutospacing="0"/>
              <w:ind w:left="0" w:right="0"/>
              <w:rPr>
                <w:rFonts w:hint="default" w:cs="Arial"/>
                <w:lang w:eastAsia="en-US"/>
              </w:rPr>
            </w:pPr>
            <w:r>
              <w:rPr>
                <w:rFonts w:hint="default" w:cs="Arial"/>
                <w:lang w:eastAsia="en-US"/>
              </w:rPr>
              <w:t>30</w:t>
            </w:r>
          </w:p>
        </w:tc>
        <w:tc>
          <w:tcPr>
            <w:tcW w:w="1139" w:type="pct"/>
            <w:noWrap w:val="0"/>
            <w:vAlign w:val="center"/>
          </w:tcPr>
          <w:p w14:paraId="5908793B">
            <w:pPr>
              <w:pStyle w:val="39"/>
              <w:suppressLineNumbers w:val="0"/>
              <w:spacing w:before="0" w:beforeAutospacing="0" w:afterAutospacing="0"/>
              <w:ind w:left="0" w:right="0"/>
              <w:rPr>
                <w:rFonts w:hint="default" w:cs="Arial"/>
                <w:lang w:eastAsia="en-US"/>
              </w:rPr>
            </w:pPr>
            <w:r>
              <w:rPr>
                <w:rFonts w:hint="default" w:cs="Arial"/>
                <w:lang w:eastAsia="en-US"/>
              </w:rPr>
              <w:t>30</w:t>
            </w:r>
          </w:p>
        </w:tc>
        <w:tc>
          <w:tcPr>
            <w:tcW w:w="1139" w:type="pct"/>
            <w:noWrap w:val="0"/>
            <w:vAlign w:val="center"/>
          </w:tcPr>
          <w:p w14:paraId="69AAB4D8">
            <w:pPr>
              <w:pStyle w:val="39"/>
              <w:suppressLineNumbers w:val="0"/>
              <w:spacing w:before="0" w:beforeAutospacing="0" w:afterAutospacing="0"/>
              <w:ind w:left="0" w:right="0"/>
              <w:rPr>
                <w:rFonts w:hint="default" w:cs="Arial"/>
                <w:lang w:eastAsia="en-US"/>
              </w:rPr>
            </w:pPr>
            <w:r>
              <w:rPr>
                <w:rFonts w:hint="default" w:cs="Arial"/>
                <w:lang w:eastAsia="en-US"/>
              </w:rPr>
              <w:t>30</w:t>
            </w:r>
          </w:p>
        </w:tc>
      </w:tr>
      <w:tr w14:paraId="38A6F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058DC494">
            <w:pPr>
              <w:pStyle w:val="39"/>
              <w:suppressLineNumbers w:val="0"/>
              <w:spacing w:before="0" w:beforeAutospacing="0" w:afterAutospacing="0"/>
              <w:ind w:left="0" w:right="0"/>
              <w:rPr>
                <w:rFonts w:hint="default" w:cs="Arial"/>
                <w:lang w:eastAsia="en-US"/>
              </w:rPr>
            </w:pPr>
            <w:r>
              <w:rPr>
                <w:rFonts w:hint="default" w:cs="Arial"/>
                <w:lang w:eastAsia="en-US"/>
              </w:rPr>
              <w:t xml:space="preserve">BS max TX power in </w:t>
            </w:r>
            <w:r>
              <w:rPr>
                <w:rFonts w:hint="default" w:cs="Arial"/>
                <w:i/>
                <w:lang w:eastAsia="en-US"/>
              </w:rPr>
              <w:t>dBm</w:t>
            </w:r>
          </w:p>
        </w:tc>
        <w:tc>
          <w:tcPr>
            <w:tcW w:w="1139" w:type="pct"/>
            <w:noWrap w:val="0"/>
            <w:vAlign w:val="center"/>
          </w:tcPr>
          <w:p w14:paraId="09AF261C">
            <w:pPr>
              <w:pStyle w:val="39"/>
              <w:suppressLineNumbers w:val="0"/>
              <w:spacing w:before="0" w:beforeAutospacing="0" w:afterAutospacing="0"/>
              <w:ind w:left="0" w:right="0"/>
              <w:rPr>
                <w:rFonts w:hint="default" w:cs="Arial"/>
                <w:lang w:eastAsia="en-US"/>
              </w:rPr>
            </w:pPr>
            <w:r>
              <w:rPr>
                <w:rFonts w:hint="default" w:cs="Arial"/>
                <w:lang w:eastAsia="en-US"/>
              </w:rPr>
              <w:t>43dBm/200kHz</w:t>
            </w:r>
          </w:p>
        </w:tc>
        <w:tc>
          <w:tcPr>
            <w:tcW w:w="1139" w:type="pct"/>
            <w:noWrap w:val="0"/>
            <w:vAlign w:val="center"/>
          </w:tcPr>
          <w:p w14:paraId="4250C465">
            <w:pPr>
              <w:pStyle w:val="39"/>
              <w:suppressLineNumbers w:val="0"/>
              <w:spacing w:before="0" w:beforeAutospacing="0" w:afterAutospacing="0"/>
              <w:ind w:left="0" w:right="0"/>
              <w:rPr>
                <w:rFonts w:hint="default" w:cs="Arial"/>
                <w:lang w:eastAsia="en-US"/>
              </w:rPr>
            </w:pPr>
            <w:r>
              <w:rPr>
                <w:rFonts w:hint="default" w:cs="Arial"/>
                <w:lang w:eastAsia="en-US"/>
              </w:rPr>
              <w:t>46 dbm</w:t>
            </w:r>
          </w:p>
        </w:tc>
        <w:tc>
          <w:tcPr>
            <w:tcW w:w="1139" w:type="pct"/>
            <w:noWrap w:val="0"/>
            <w:vAlign w:val="center"/>
          </w:tcPr>
          <w:p w14:paraId="658E6FED">
            <w:pPr>
              <w:pStyle w:val="39"/>
              <w:suppressLineNumbers w:val="0"/>
              <w:spacing w:before="0" w:beforeAutospacing="0" w:afterAutospacing="0"/>
              <w:ind w:left="0" w:right="0"/>
              <w:rPr>
                <w:rFonts w:hint="default" w:cs="Arial"/>
                <w:lang w:eastAsia="en-US"/>
              </w:rPr>
            </w:pPr>
            <w:r>
              <w:rPr>
                <w:rFonts w:hint="default" w:cs="Arial"/>
                <w:lang w:eastAsia="en-US"/>
              </w:rPr>
              <w:t>46</w:t>
            </w:r>
          </w:p>
        </w:tc>
      </w:tr>
      <w:tr w14:paraId="672189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2956B1CF">
            <w:pPr>
              <w:pStyle w:val="39"/>
              <w:suppressLineNumbers w:val="0"/>
              <w:spacing w:before="0" w:beforeAutospacing="0" w:afterAutospacing="0"/>
              <w:ind w:left="0" w:right="0"/>
              <w:rPr>
                <w:rFonts w:hint="default" w:cs="Arial"/>
                <w:lang w:eastAsia="en-US"/>
              </w:rPr>
            </w:pPr>
            <w:r>
              <w:rPr>
                <w:rFonts w:hint="default" w:cs="Arial"/>
                <w:lang w:eastAsia="en-US"/>
              </w:rPr>
              <w:t xml:space="preserve">BS antenna gain including feeder loss in </w:t>
            </w:r>
            <w:r>
              <w:rPr>
                <w:rFonts w:hint="default" w:cs="Arial"/>
                <w:i/>
                <w:lang w:eastAsia="en-US"/>
              </w:rPr>
              <w:t>dBi</w:t>
            </w:r>
          </w:p>
        </w:tc>
        <w:tc>
          <w:tcPr>
            <w:tcW w:w="1139" w:type="pct"/>
            <w:noWrap w:val="0"/>
            <w:vAlign w:val="center"/>
          </w:tcPr>
          <w:p w14:paraId="0CFCED48">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17</w:t>
            </w:r>
          </w:p>
        </w:tc>
        <w:tc>
          <w:tcPr>
            <w:tcW w:w="1139" w:type="pct"/>
            <w:noWrap w:val="0"/>
            <w:vAlign w:val="center"/>
          </w:tcPr>
          <w:p w14:paraId="6A0D899C">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17</w:t>
            </w:r>
          </w:p>
        </w:tc>
        <w:tc>
          <w:tcPr>
            <w:tcW w:w="1139" w:type="pct"/>
            <w:noWrap w:val="0"/>
            <w:vAlign w:val="center"/>
          </w:tcPr>
          <w:p w14:paraId="182A2C0F">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17</w:t>
            </w:r>
          </w:p>
        </w:tc>
      </w:tr>
      <w:tr w14:paraId="4DC27C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339AA3E5">
            <w:pPr>
              <w:pStyle w:val="39"/>
              <w:suppressLineNumbers w:val="0"/>
              <w:spacing w:before="0" w:beforeAutospacing="0" w:afterAutospacing="0"/>
              <w:ind w:left="0" w:right="0"/>
              <w:rPr>
                <w:rFonts w:hint="default" w:cs="Arial"/>
                <w:lang w:eastAsia="en-US"/>
              </w:rPr>
            </w:pPr>
            <w:r>
              <w:rPr>
                <w:rFonts w:hint="default" w:cs="Arial"/>
                <w:lang w:eastAsia="en-US"/>
              </w:rPr>
              <w:t>BS antenna pattern</w:t>
            </w:r>
          </w:p>
        </w:tc>
        <w:tc>
          <w:tcPr>
            <w:tcW w:w="1139" w:type="pct"/>
            <w:noWrap w:val="0"/>
            <w:vAlign w:val="center"/>
          </w:tcPr>
          <w:p w14:paraId="43889CB2">
            <w:pPr>
              <w:pStyle w:val="39"/>
              <w:suppressLineNumbers w:val="0"/>
              <w:spacing w:before="0" w:beforeAutospacing="0" w:afterAutospacing="0"/>
              <w:ind w:left="0" w:right="0"/>
              <w:rPr>
                <w:rFonts w:hint="default" w:cs="Arial"/>
                <w:lang w:eastAsia="en-US"/>
              </w:rPr>
            </w:pPr>
            <w:r>
              <w:rPr>
                <w:rFonts w:hint="default" w:cs="Arial"/>
                <w:lang w:eastAsia="en-US"/>
              </w:rPr>
              <w:t>Horizontal (36.942)</w:t>
            </w:r>
          </w:p>
        </w:tc>
        <w:tc>
          <w:tcPr>
            <w:tcW w:w="1139" w:type="pct"/>
            <w:noWrap w:val="0"/>
            <w:vAlign w:val="center"/>
          </w:tcPr>
          <w:p w14:paraId="589183CF">
            <w:pPr>
              <w:pStyle w:val="39"/>
              <w:suppressLineNumbers w:val="0"/>
              <w:spacing w:before="0" w:beforeAutospacing="0" w:afterAutospacing="0"/>
              <w:ind w:left="0" w:right="0"/>
              <w:rPr>
                <w:rFonts w:hint="default" w:cs="Arial"/>
                <w:lang w:eastAsia="en-US"/>
              </w:rPr>
            </w:pPr>
            <w:r>
              <w:rPr>
                <w:rFonts w:hint="default" w:cs="Arial"/>
                <w:lang w:eastAsia="en-US"/>
              </w:rPr>
              <w:t>Horizontal (36.942)</w:t>
            </w:r>
          </w:p>
        </w:tc>
        <w:tc>
          <w:tcPr>
            <w:tcW w:w="1139" w:type="pct"/>
            <w:noWrap w:val="0"/>
            <w:vAlign w:val="center"/>
          </w:tcPr>
          <w:p w14:paraId="4DA096A7">
            <w:pPr>
              <w:pStyle w:val="39"/>
              <w:suppressLineNumbers w:val="0"/>
              <w:spacing w:before="0" w:beforeAutospacing="0" w:afterAutospacing="0"/>
              <w:ind w:left="0" w:right="0"/>
              <w:rPr>
                <w:rFonts w:hint="default" w:cs="Arial"/>
                <w:lang w:eastAsia="en-US"/>
              </w:rPr>
            </w:pPr>
            <w:r>
              <w:rPr>
                <w:rFonts w:hint="default" w:cs="Arial"/>
                <w:lang w:eastAsia="en-US"/>
              </w:rPr>
              <w:t xml:space="preserve">Horizontal (36.942) </w:t>
            </w:r>
          </w:p>
        </w:tc>
      </w:tr>
      <w:tr w14:paraId="55346C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23D7749F">
            <w:pPr>
              <w:pStyle w:val="39"/>
              <w:suppressLineNumbers w:val="0"/>
              <w:spacing w:before="0" w:beforeAutospacing="0" w:afterAutospacing="0"/>
              <w:ind w:left="0" w:right="0"/>
              <w:rPr>
                <w:rFonts w:hint="default" w:cs="Arial"/>
                <w:lang w:eastAsia="en-US"/>
              </w:rPr>
            </w:pPr>
            <w:r>
              <w:rPr>
                <w:rFonts w:hint="default" w:cs="Arial"/>
                <w:lang w:eastAsia="en-US"/>
              </w:rPr>
              <w:t>BS antenna front-back ratio in dB</w:t>
            </w:r>
          </w:p>
        </w:tc>
        <w:tc>
          <w:tcPr>
            <w:tcW w:w="1139" w:type="pct"/>
            <w:noWrap w:val="0"/>
            <w:vAlign w:val="center"/>
          </w:tcPr>
          <w:p w14:paraId="2DEF3130">
            <w:pPr>
              <w:pStyle w:val="39"/>
              <w:suppressLineNumbers w:val="0"/>
              <w:spacing w:before="0" w:beforeAutospacing="0" w:afterAutospacing="0"/>
              <w:ind w:left="0" w:right="0"/>
              <w:rPr>
                <w:rFonts w:hint="default" w:cs="Arial"/>
                <w:lang w:eastAsia="en-US"/>
              </w:rPr>
            </w:pPr>
            <w:r>
              <w:rPr>
                <w:rFonts w:hint="default" w:cs="Arial"/>
                <w:lang w:eastAsia="en-US"/>
              </w:rPr>
              <w:t>20</w:t>
            </w:r>
          </w:p>
        </w:tc>
        <w:tc>
          <w:tcPr>
            <w:tcW w:w="1139" w:type="pct"/>
            <w:noWrap w:val="0"/>
            <w:vAlign w:val="center"/>
          </w:tcPr>
          <w:p w14:paraId="6A12F764">
            <w:pPr>
              <w:pStyle w:val="39"/>
              <w:suppressLineNumbers w:val="0"/>
              <w:spacing w:before="0" w:beforeAutospacing="0" w:afterAutospacing="0"/>
              <w:ind w:left="0" w:right="0"/>
              <w:rPr>
                <w:rFonts w:hint="default" w:cs="Arial"/>
                <w:lang w:eastAsia="en-US"/>
              </w:rPr>
            </w:pPr>
            <w:r>
              <w:rPr>
                <w:rFonts w:hint="default" w:cs="Arial"/>
                <w:lang w:eastAsia="en-US"/>
              </w:rPr>
              <w:t>20</w:t>
            </w:r>
          </w:p>
        </w:tc>
        <w:tc>
          <w:tcPr>
            <w:tcW w:w="1139" w:type="pct"/>
            <w:noWrap w:val="0"/>
            <w:vAlign w:val="center"/>
          </w:tcPr>
          <w:p w14:paraId="72D1B830">
            <w:pPr>
              <w:pStyle w:val="39"/>
              <w:suppressLineNumbers w:val="0"/>
              <w:spacing w:before="0" w:beforeAutospacing="0" w:afterAutospacing="0"/>
              <w:ind w:left="0" w:right="0"/>
              <w:rPr>
                <w:rFonts w:hint="default" w:cs="Arial"/>
                <w:lang w:eastAsia="en-US"/>
              </w:rPr>
            </w:pPr>
            <w:r>
              <w:rPr>
                <w:rFonts w:hint="default" w:cs="Arial"/>
                <w:lang w:eastAsia="en-US"/>
              </w:rPr>
              <w:t>20</w:t>
            </w:r>
          </w:p>
        </w:tc>
      </w:tr>
      <w:tr w14:paraId="7008BD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0F279861">
            <w:pPr>
              <w:pStyle w:val="39"/>
              <w:suppressLineNumbers w:val="0"/>
              <w:spacing w:before="0" w:beforeAutospacing="0" w:afterAutospacing="0"/>
              <w:ind w:left="0" w:right="0"/>
              <w:rPr>
                <w:rFonts w:hint="default" w:cs="Arial"/>
                <w:lang w:eastAsia="en-US"/>
              </w:rPr>
            </w:pPr>
            <w:r>
              <w:rPr>
                <w:rFonts w:hint="default" w:cs="Arial"/>
                <w:lang w:eastAsia="en-US"/>
              </w:rPr>
              <w:t xml:space="preserve">UE antenna height in </w:t>
            </w:r>
            <w:r>
              <w:rPr>
                <w:rFonts w:hint="default" w:cs="Arial"/>
                <w:i/>
                <w:lang w:eastAsia="en-US"/>
              </w:rPr>
              <w:t>meter</w:t>
            </w:r>
          </w:p>
        </w:tc>
        <w:tc>
          <w:tcPr>
            <w:tcW w:w="1139" w:type="pct"/>
            <w:noWrap w:val="0"/>
            <w:vAlign w:val="center"/>
          </w:tcPr>
          <w:p w14:paraId="1854B20F">
            <w:pPr>
              <w:pStyle w:val="39"/>
              <w:suppressLineNumbers w:val="0"/>
              <w:spacing w:before="0" w:beforeAutospacing="0" w:afterAutospacing="0"/>
              <w:ind w:left="0" w:right="0"/>
              <w:rPr>
                <w:rFonts w:hint="default" w:cs="Arial"/>
                <w:lang w:eastAsia="en-US"/>
              </w:rPr>
            </w:pPr>
            <w:r>
              <w:rPr>
                <w:rFonts w:hint="default" w:cs="Arial"/>
                <w:lang w:eastAsia="en-US"/>
              </w:rPr>
              <w:t>1.5</w:t>
            </w:r>
          </w:p>
        </w:tc>
        <w:tc>
          <w:tcPr>
            <w:tcW w:w="1139" w:type="pct"/>
            <w:noWrap w:val="0"/>
            <w:vAlign w:val="center"/>
          </w:tcPr>
          <w:p w14:paraId="1359E0A7">
            <w:pPr>
              <w:pStyle w:val="39"/>
              <w:suppressLineNumbers w:val="0"/>
              <w:spacing w:before="0" w:beforeAutospacing="0" w:afterAutospacing="0"/>
              <w:ind w:left="0" w:right="0"/>
              <w:rPr>
                <w:rFonts w:hint="default" w:cs="Arial"/>
                <w:lang w:eastAsia="en-US"/>
              </w:rPr>
            </w:pPr>
            <w:r>
              <w:rPr>
                <w:rFonts w:hint="default" w:cs="Arial"/>
                <w:lang w:eastAsia="en-US"/>
              </w:rPr>
              <w:t>1.5</w:t>
            </w:r>
          </w:p>
        </w:tc>
        <w:tc>
          <w:tcPr>
            <w:tcW w:w="1139" w:type="pct"/>
            <w:noWrap w:val="0"/>
            <w:vAlign w:val="center"/>
          </w:tcPr>
          <w:p w14:paraId="140BDDE1">
            <w:pPr>
              <w:pStyle w:val="39"/>
              <w:suppressLineNumbers w:val="0"/>
              <w:spacing w:before="0" w:beforeAutospacing="0" w:afterAutospacing="0"/>
              <w:ind w:left="0" w:right="0"/>
              <w:rPr>
                <w:rFonts w:hint="default" w:cs="Arial"/>
                <w:lang w:eastAsia="en-US"/>
              </w:rPr>
            </w:pPr>
            <w:r>
              <w:rPr>
                <w:rFonts w:hint="default" w:cs="Arial"/>
                <w:lang w:eastAsia="en-US"/>
              </w:rPr>
              <w:t>1.5</w:t>
            </w:r>
          </w:p>
        </w:tc>
      </w:tr>
      <w:tr w14:paraId="714BB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6F775ED7">
            <w:pPr>
              <w:pStyle w:val="39"/>
              <w:suppressLineNumbers w:val="0"/>
              <w:spacing w:before="0" w:beforeAutospacing="0" w:afterAutospacing="0"/>
              <w:ind w:left="0" w:right="0"/>
              <w:rPr>
                <w:rFonts w:hint="default" w:cs="Arial"/>
                <w:lang w:eastAsia="en-US"/>
              </w:rPr>
            </w:pPr>
            <w:r>
              <w:rPr>
                <w:rFonts w:hint="default" w:cs="Arial"/>
                <w:lang w:eastAsia="en-US"/>
              </w:rPr>
              <w:t xml:space="preserve">UE TX power in </w:t>
            </w:r>
            <w:r>
              <w:rPr>
                <w:rFonts w:hint="default" w:cs="Arial"/>
                <w:i/>
                <w:lang w:eastAsia="en-US"/>
              </w:rPr>
              <w:t>dBm</w:t>
            </w:r>
          </w:p>
        </w:tc>
        <w:tc>
          <w:tcPr>
            <w:tcW w:w="1139" w:type="pct"/>
            <w:noWrap w:val="0"/>
            <w:vAlign w:val="center"/>
          </w:tcPr>
          <w:p w14:paraId="28C59C5F">
            <w:pPr>
              <w:keepNext w:val="0"/>
              <w:keepLines w:val="0"/>
              <w:numPr>
                <w:ilvl w:val="0"/>
                <w:numId w:val="0"/>
              </w:numPr>
              <w:suppressLineNumbers w:val="0"/>
              <w:spacing w:before="0" w:beforeAutospacing="0" w:afterAutospacing="0"/>
              <w:ind w:left="0" w:right="0"/>
              <w:jc w:val="both"/>
              <w:rPr>
                <w:rFonts w:hint="default" w:eastAsia="等线"/>
                <w:bCs/>
                <w:iCs/>
                <w:szCs w:val="20"/>
                <w:lang w:eastAsia="zh-CN"/>
              </w:rPr>
            </w:pPr>
            <w:r>
              <w:rPr>
                <w:rFonts w:hint="default" w:eastAsia="等线"/>
                <w:bCs/>
                <w:iCs/>
                <w:szCs w:val="20"/>
                <w:lang w:eastAsia="zh-CN"/>
              </w:rPr>
              <w:t>Device 2b: {-10, -20</w:t>
            </w:r>
            <w:r>
              <w:rPr>
                <w:rFonts w:hint="eastAsia" w:eastAsia="等线"/>
                <w:bCs/>
                <w:iCs/>
                <w:szCs w:val="20"/>
                <w:lang w:eastAsia="zh-CN"/>
              </w:rPr>
              <w:t>}</w:t>
            </w:r>
            <w:r>
              <w:rPr>
                <w:rFonts w:hint="default" w:eastAsia="等线"/>
                <w:bCs/>
                <w:iCs/>
                <w:szCs w:val="20"/>
                <w:lang w:eastAsia="zh-CN"/>
              </w:rPr>
              <w:t xml:space="preserve"> </w:t>
            </w:r>
          </w:p>
          <w:p w14:paraId="37D94F2E">
            <w:pPr>
              <w:keepNext w:val="0"/>
              <w:keepLines w:val="0"/>
              <w:numPr>
                <w:ilvl w:val="0"/>
                <w:numId w:val="0"/>
              </w:numPr>
              <w:suppressLineNumbers w:val="0"/>
              <w:spacing w:before="0" w:beforeAutospacing="0" w:afterAutospacing="0"/>
              <w:ind w:left="0" w:right="0"/>
              <w:jc w:val="both"/>
              <w:rPr>
                <w:rFonts w:hint="default" w:cs="Arial"/>
                <w:lang w:eastAsia="en-US"/>
              </w:rPr>
            </w:pPr>
            <w:r>
              <w:rPr>
                <w:rFonts w:hint="default" w:eastAsia="等线"/>
                <w:bCs/>
                <w:iCs/>
                <w:szCs w:val="20"/>
                <w:lang w:eastAsia="zh-CN"/>
              </w:rPr>
              <w:t xml:space="preserve">Device C: </w:t>
            </w:r>
            <w:r>
              <w:rPr>
                <w:rFonts w:hint="eastAsia" w:eastAsia="等线"/>
                <w:bCs/>
                <w:iCs/>
                <w:szCs w:val="20"/>
                <w:lang w:eastAsia="zh-CN"/>
              </w:rPr>
              <w:t>{</w:t>
            </w:r>
            <w:r>
              <w:rPr>
                <w:rFonts w:hint="default" w:eastAsia="等线"/>
                <w:bCs/>
                <w:iCs/>
                <w:szCs w:val="20"/>
                <w:lang w:eastAsia="zh-CN"/>
              </w:rPr>
              <w:t>-3, 0, 5</w:t>
            </w:r>
            <w:r>
              <w:rPr>
                <w:rFonts w:hint="eastAsia" w:eastAsia="等线"/>
                <w:bCs/>
                <w:iCs/>
                <w:szCs w:val="20"/>
                <w:lang w:eastAsia="zh-CN"/>
              </w:rPr>
              <w:t>}</w:t>
            </w:r>
            <w:r>
              <w:rPr>
                <w:rFonts w:hint="default" w:eastAsia="等线"/>
                <w:bCs/>
                <w:iCs/>
                <w:szCs w:val="20"/>
                <w:lang w:eastAsia="zh-CN"/>
              </w:rPr>
              <w:t xml:space="preserve"> </w:t>
            </w:r>
          </w:p>
        </w:tc>
        <w:tc>
          <w:tcPr>
            <w:tcW w:w="1139" w:type="pct"/>
            <w:noWrap w:val="0"/>
            <w:vAlign w:val="center"/>
          </w:tcPr>
          <w:p w14:paraId="5DEAD273">
            <w:pPr>
              <w:keepNext w:val="0"/>
              <w:keepLines w:val="0"/>
              <w:numPr>
                <w:ilvl w:val="0"/>
                <w:numId w:val="0"/>
              </w:numPr>
              <w:suppressLineNumbers w:val="0"/>
              <w:spacing w:before="0" w:beforeAutospacing="0" w:afterAutospacing="0"/>
              <w:ind w:left="0" w:right="0"/>
              <w:jc w:val="both"/>
              <w:rPr>
                <w:rFonts w:hint="default" w:eastAsia="等线"/>
                <w:bCs/>
                <w:iCs/>
                <w:szCs w:val="20"/>
                <w:lang w:eastAsia="zh-CN"/>
              </w:rPr>
            </w:pPr>
            <w:r>
              <w:rPr>
                <w:rFonts w:hint="default" w:eastAsia="等线"/>
                <w:bCs/>
                <w:iCs/>
                <w:szCs w:val="20"/>
                <w:lang w:eastAsia="zh-CN"/>
              </w:rPr>
              <w:t>Device 2b: {-10, -20</w:t>
            </w:r>
            <w:r>
              <w:rPr>
                <w:rFonts w:hint="eastAsia" w:eastAsia="等线"/>
                <w:bCs/>
                <w:iCs/>
                <w:szCs w:val="20"/>
                <w:lang w:eastAsia="zh-CN"/>
              </w:rPr>
              <w:t>}</w:t>
            </w:r>
            <w:r>
              <w:rPr>
                <w:rFonts w:hint="default" w:eastAsia="等线"/>
                <w:bCs/>
                <w:iCs/>
                <w:szCs w:val="20"/>
                <w:lang w:eastAsia="zh-CN"/>
              </w:rPr>
              <w:t xml:space="preserve"> </w:t>
            </w:r>
          </w:p>
          <w:p w14:paraId="4D2654DE">
            <w:pPr>
              <w:pStyle w:val="39"/>
              <w:suppressLineNumbers w:val="0"/>
              <w:spacing w:before="0" w:beforeAutospacing="0" w:afterAutospacing="0"/>
              <w:ind w:left="0" w:right="0"/>
              <w:jc w:val="both"/>
              <w:rPr>
                <w:rFonts w:hint="default" w:cs="Arial"/>
                <w:lang w:eastAsia="en-US"/>
              </w:rPr>
            </w:pPr>
            <w:r>
              <w:rPr>
                <w:rFonts w:hint="default" w:ascii="Times New Roman" w:hAnsi="Times New Roman" w:eastAsia="等线" w:cs="Times New Roman"/>
                <w:bCs/>
                <w:iCs/>
                <w:kern w:val="2"/>
                <w:sz w:val="21"/>
                <w:szCs w:val="20"/>
                <w:lang w:val="en-US" w:eastAsia="zh-CN" w:bidi="ar-SA"/>
              </w:rPr>
              <w:t xml:space="preserve">Device C: </w:t>
            </w:r>
            <w:r>
              <w:rPr>
                <w:rFonts w:hint="eastAsia" w:ascii="Times New Roman" w:hAnsi="Times New Roman" w:eastAsia="等线" w:cs="Times New Roman"/>
                <w:bCs/>
                <w:iCs/>
                <w:kern w:val="2"/>
                <w:sz w:val="21"/>
                <w:szCs w:val="20"/>
                <w:lang w:val="en-US" w:eastAsia="zh-CN" w:bidi="ar-SA"/>
              </w:rPr>
              <w:t>{</w:t>
            </w:r>
            <w:r>
              <w:rPr>
                <w:rFonts w:hint="default" w:ascii="Times New Roman" w:hAnsi="Times New Roman" w:eastAsia="等线" w:cs="Times New Roman"/>
                <w:bCs/>
                <w:iCs/>
                <w:kern w:val="2"/>
                <w:sz w:val="21"/>
                <w:szCs w:val="20"/>
                <w:lang w:val="en-US" w:eastAsia="zh-CN" w:bidi="ar-SA"/>
              </w:rPr>
              <w:t>-3, 0, 5</w:t>
            </w:r>
            <w:r>
              <w:rPr>
                <w:rFonts w:hint="eastAsia" w:ascii="Times New Roman" w:hAnsi="Times New Roman" w:eastAsia="等线" w:cs="Times New Roman"/>
                <w:bCs/>
                <w:iCs/>
                <w:kern w:val="2"/>
                <w:sz w:val="21"/>
                <w:szCs w:val="20"/>
                <w:lang w:val="en-US" w:eastAsia="zh-CN" w:bidi="ar-SA"/>
              </w:rPr>
              <w:t>}</w:t>
            </w:r>
            <w:r>
              <w:rPr>
                <w:rFonts w:hint="default" w:ascii="Times New Roman" w:hAnsi="Times New Roman" w:eastAsia="等线" w:cs="Times New Roman"/>
                <w:bCs/>
                <w:iCs/>
                <w:kern w:val="2"/>
                <w:sz w:val="21"/>
                <w:szCs w:val="20"/>
                <w:lang w:val="en-US" w:eastAsia="zh-CN" w:bidi="ar-SA"/>
              </w:rPr>
              <w:t xml:space="preserve"> </w:t>
            </w:r>
          </w:p>
        </w:tc>
        <w:tc>
          <w:tcPr>
            <w:tcW w:w="1139" w:type="pct"/>
            <w:noWrap w:val="0"/>
            <w:vAlign w:val="center"/>
          </w:tcPr>
          <w:p w14:paraId="0123299B">
            <w:pPr>
              <w:pStyle w:val="39"/>
              <w:suppressLineNumbers w:val="0"/>
              <w:spacing w:before="0" w:beforeAutospacing="0" w:afterAutospacing="0"/>
              <w:ind w:left="0" w:right="0"/>
              <w:rPr>
                <w:rFonts w:hint="default" w:cs="Arial"/>
                <w:lang w:eastAsia="en-US"/>
              </w:rPr>
            </w:pPr>
            <w:r>
              <w:rPr>
                <w:rFonts w:hint="default" w:cs="Arial"/>
                <w:lang w:eastAsia="en-US"/>
              </w:rPr>
              <w:t>-40 to 23</w:t>
            </w:r>
          </w:p>
        </w:tc>
      </w:tr>
      <w:tr w14:paraId="3BD12D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480AFEA6">
            <w:pPr>
              <w:pStyle w:val="39"/>
              <w:suppressLineNumbers w:val="0"/>
              <w:spacing w:before="0" w:beforeAutospacing="0" w:afterAutospacing="0"/>
              <w:ind w:left="0" w:right="0"/>
              <w:rPr>
                <w:rFonts w:hint="default" w:cs="Arial"/>
                <w:lang w:eastAsia="en-US"/>
              </w:rPr>
            </w:pPr>
            <w:r>
              <w:rPr>
                <w:rFonts w:hint="default" w:cs="Arial"/>
                <w:lang w:eastAsia="en-US"/>
              </w:rPr>
              <w:t xml:space="preserve">UE antenna gain in </w:t>
            </w:r>
            <w:r>
              <w:rPr>
                <w:rFonts w:hint="default" w:cs="Arial"/>
                <w:i/>
                <w:lang w:eastAsia="en-US"/>
              </w:rPr>
              <w:t>dBi</w:t>
            </w:r>
          </w:p>
        </w:tc>
        <w:tc>
          <w:tcPr>
            <w:tcW w:w="1139" w:type="pct"/>
            <w:noWrap w:val="0"/>
            <w:vAlign w:val="center"/>
          </w:tcPr>
          <w:p w14:paraId="7DBC5E3A">
            <w:pPr>
              <w:pStyle w:val="39"/>
              <w:suppressLineNumbers w:val="0"/>
              <w:spacing w:before="0" w:beforeAutospacing="0" w:afterAutospacing="0"/>
              <w:ind w:left="0" w:right="0"/>
              <w:rPr>
                <w:rFonts w:hint="default" w:cs="Arial"/>
                <w:lang w:eastAsia="en-US"/>
              </w:rPr>
            </w:pPr>
            <w:r>
              <w:rPr>
                <w:rFonts w:hint="default" w:cs="Arial"/>
                <w:lang w:eastAsia="en-US"/>
              </w:rPr>
              <w:t>0</w:t>
            </w:r>
          </w:p>
        </w:tc>
        <w:tc>
          <w:tcPr>
            <w:tcW w:w="1139" w:type="pct"/>
            <w:noWrap w:val="0"/>
            <w:vAlign w:val="center"/>
          </w:tcPr>
          <w:p w14:paraId="6FFF678F">
            <w:pPr>
              <w:pStyle w:val="39"/>
              <w:suppressLineNumbers w:val="0"/>
              <w:spacing w:before="0" w:beforeAutospacing="0" w:afterAutospacing="0"/>
              <w:ind w:left="0" w:right="0"/>
              <w:rPr>
                <w:rFonts w:hint="default" w:cs="Arial"/>
                <w:lang w:eastAsia="en-US"/>
              </w:rPr>
            </w:pPr>
            <w:r>
              <w:rPr>
                <w:rFonts w:hint="default" w:cs="Arial"/>
                <w:lang w:eastAsia="en-US"/>
              </w:rPr>
              <w:t>0</w:t>
            </w:r>
          </w:p>
        </w:tc>
        <w:tc>
          <w:tcPr>
            <w:tcW w:w="1139" w:type="pct"/>
            <w:noWrap w:val="0"/>
            <w:vAlign w:val="center"/>
          </w:tcPr>
          <w:p w14:paraId="263DB679">
            <w:pPr>
              <w:pStyle w:val="39"/>
              <w:suppressLineNumbers w:val="0"/>
              <w:spacing w:before="0" w:beforeAutospacing="0" w:afterAutospacing="0"/>
              <w:ind w:left="0" w:right="0"/>
              <w:rPr>
                <w:rFonts w:hint="default" w:cs="Arial"/>
                <w:lang w:eastAsia="en-US"/>
              </w:rPr>
            </w:pPr>
            <w:r>
              <w:rPr>
                <w:rFonts w:hint="default" w:cs="Arial"/>
                <w:lang w:eastAsia="en-US"/>
              </w:rPr>
              <w:t>0</w:t>
            </w:r>
          </w:p>
        </w:tc>
      </w:tr>
      <w:tr w14:paraId="745F78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2FED6601">
            <w:pPr>
              <w:pStyle w:val="39"/>
              <w:suppressLineNumbers w:val="0"/>
              <w:spacing w:before="0" w:beforeAutospacing="0" w:afterAutospacing="0"/>
              <w:ind w:left="0" w:right="0"/>
              <w:rPr>
                <w:rFonts w:hint="default" w:eastAsia="宋体" w:cs="Arial"/>
                <w:lang w:val="en-US" w:eastAsia="zh-CN"/>
              </w:rPr>
            </w:pPr>
            <w:r>
              <w:rPr>
                <w:rFonts w:hint="default" w:cs="Arial"/>
                <w:lang w:eastAsia="en-US"/>
              </w:rPr>
              <w:t>Building penetration loss</w:t>
            </w:r>
            <w:r>
              <w:rPr>
                <w:rFonts w:hint="eastAsia" w:eastAsia="宋体" w:cs="Arial"/>
                <w:lang w:val="en-US" w:eastAsia="zh-CN"/>
              </w:rPr>
              <w:t xml:space="preserve"> [out door only]</w:t>
            </w:r>
          </w:p>
        </w:tc>
        <w:tc>
          <w:tcPr>
            <w:tcW w:w="1139" w:type="pct"/>
            <w:noWrap w:val="0"/>
            <w:vAlign w:val="center"/>
          </w:tcPr>
          <w:p w14:paraId="3CD271DF">
            <w:pPr>
              <w:pStyle w:val="39"/>
              <w:suppressLineNumbers w:val="0"/>
              <w:spacing w:before="0" w:beforeAutospacing="0" w:afterAutospacing="0"/>
              <w:ind w:left="0" w:right="0"/>
              <w:rPr>
                <w:rFonts w:hint="default" w:cs="Arial"/>
                <w:lang w:eastAsia="en-US"/>
              </w:rPr>
            </w:pPr>
            <w:r>
              <w:rPr>
                <w:rFonts w:hint="default" w:cs="Arial"/>
                <w:lang w:eastAsia="en-US"/>
              </w:rPr>
              <w:t>n/a</w:t>
            </w:r>
          </w:p>
        </w:tc>
        <w:tc>
          <w:tcPr>
            <w:tcW w:w="1139" w:type="pct"/>
            <w:noWrap w:val="0"/>
            <w:vAlign w:val="center"/>
          </w:tcPr>
          <w:p w14:paraId="01013E59">
            <w:pPr>
              <w:pStyle w:val="39"/>
              <w:suppressLineNumbers w:val="0"/>
              <w:spacing w:before="0" w:beforeAutospacing="0" w:afterAutospacing="0"/>
              <w:ind w:left="0" w:right="0"/>
              <w:rPr>
                <w:rFonts w:hint="default" w:cs="Arial"/>
                <w:lang w:eastAsia="en-US"/>
              </w:rPr>
            </w:pPr>
            <w:r>
              <w:rPr>
                <w:rFonts w:hint="default" w:cs="Arial"/>
                <w:lang w:eastAsia="en-US"/>
              </w:rPr>
              <w:t>n/a</w:t>
            </w:r>
          </w:p>
        </w:tc>
        <w:tc>
          <w:tcPr>
            <w:tcW w:w="1139" w:type="pct"/>
            <w:noWrap w:val="0"/>
            <w:vAlign w:val="center"/>
          </w:tcPr>
          <w:p w14:paraId="0DA5233D">
            <w:pPr>
              <w:pStyle w:val="39"/>
              <w:suppressLineNumbers w:val="0"/>
              <w:spacing w:before="0" w:beforeAutospacing="0" w:afterAutospacing="0"/>
              <w:ind w:left="0" w:right="0"/>
              <w:rPr>
                <w:rFonts w:hint="default" w:cs="Arial"/>
                <w:lang w:eastAsia="en-US"/>
              </w:rPr>
            </w:pPr>
            <w:r>
              <w:rPr>
                <w:rFonts w:hint="default" w:cs="Arial"/>
                <w:lang w:eastAsia="en-US"/>
              </w:rPr>
              <w:t>n/a</w:t>
            </w:r>
          </w:p>
        </w:tc>
      </w:tr>
      <w:tr w14:paraId="77620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7CB6FB5A">
            <w:pPr>
              <w:pStyle w:val="39"/>
              <w:suppressLineNumbers w:val="0"/>
              <w:spacing w:before="0" w:beforeAutospacing="0" w:afterAutospacing="0"/>
              <w:ind w:left="0" w:right="0"/>
              <w:rPr>
                <w:rFonts w:hint="default" w:cs="Arial"/>
                <w:lang w:eastAsia="en-US"/>
              </w:rPr>
            </w:pPr>
            <w:r>
              <w:rPr>
                <w:rFonts w:hint="default" w:cs="Arial"/>
                <w:lang w:eastAsia="en-US"/>
              </w:rPr>
              <w:t>Cell selection margin in dB</w:t>
            </w:r>
          </w:p>
        </w:tc>
        <w:tc>
          <w:tcPr>
            <w:tcW w:w="1139" w:type="pct"/>
            <w:noWrap w:val="0"/>
            <w:vAlign w:val="center"/>
          </w:tcPr>
          <w:p w14:paraId="397D5E11">
            <w:pPr>
              <w:pStyle w:val="39"/>
              <w:suppressLineNumbers w:val="0"/>
              <w:spacing w:before="0" w:beforeAutospacing="0" w:afterAutospacing="0"/>
              <w:ind w:left="0" w:right="0"/>
              <w:rPr>
                <w:rFonts w:hint="default" w:cs="Arial"/>
                <w:lang w:eastAsia="en-US"/>
              </w:rPr>
            </w:pPr>
            <w:r>
              <w:rPr>
                <w:rFonts w:hint="default" w:cs="Arial"/>
                <w:lang w:eastAsia="en-US"/>
              </w:rPr>
              <w:t>3</w:t>
            </w:r>
          </w:p>
        </w:tc>
        <w:tc>
          <w:tcPr>
            <w:tcW w:w="1139" w:type="pct"/>
            <w:noWrap w:val="0"/>
            <w:vAlign w:val="center"/>
          </w:tcPr>
          <w:p w14:paraId="1A00C87F">
            <w:pPr>
              <w:pStyle w:val="39"/>
              <w:suppressLineNumbers w:val="0"/>
              <w:spacing w:before="0" w:beforeAutospacing="0" w:afterAutospacing="0"/>
              <w:ind w:left="0" w:right="0"/>
              <w:rPr>
                <w:rFonts w:hint="default" w:cs="Arial"/>
                <w:lang w:eastAsia="en-US"/>
              </w:rPr>
            </w:pPr>
            <w:r>
              <w:rPr>
                <w:rFonts w:hint="default" w:cs="Arial"/>
                <w:lang w:eastAsia="en-US"/>
              </w:rPr>
              <w:t>3</w:t>
            </w:r>
          </w:p>
        </w:tc>
        <w:tc>
          <w:tcPr>
            <w:tcW w:w="1139" w:type="pct"/>
            <w:noWrap w:val="0"/>
            <w:vAlign w:val="center"/>
          </w:tcPr>
          <w:p w14:paraId="74BE4033">
            <w:pPr>
              <w:pStyle w:val="39"/>
              <w:suppressLineNumbers w:val="0"/>
              <w:spacing w:before="0" w:beforeAutospacing="0" w:afterAutospacing="0"/>
              <w:ind w:left="0" w:right="0"/>
              <w:rPr>
                <w:rFonts w:hint="default" w:cs="Arial"/>
                <w:lang w:eastAsia="en-US"/>
              </w:rPr>
            </w:pPr>
            <w:r>
              <w:rPr>
                <w:rFonts w:hint="default" w:cs="Arial"/>
                <w:lang w:eastAsia="en-US"/>
              </w:rPr>
              <w:t>3</w:t>
            </w:r>
          </w:p>
        </w:tc>
      </w:tr>
      <w:tr w14:paraId="0A4F0B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3B6639DD">
            <w:pPr>
              <w:pStyle w:val="39"/>
              <w:suppressLineNumbers w:val="0"/>
              <w:spacing w:before="0" w:beforeAutospacing="0" w:afterAutospacing="0"/>
              <w:ind w:left="0" w:right="0"/>
              <w:rPr>
                <w:rFonts w:hint="default" w:cs="Arial"/>
                <w:lang w:eastAsia="en-US"/>
              </w:rPr>
            </w:pPr>
            <w:r>
              <w:rPr>
                <w:rFonts w:hint="default" w:cs="Arial"/>
                <w:lang w:eastAsia="en-US"/>
              </w:rPr>
              <w:t>BS-MS min couple loss in dB</w:t>
            </w:r>
          </w:p>
        </w:tc>
        <w:tc>
          <w:tcPr>
            <w:tcW w:w="1139" w:type="pct"/>
            <w:noWrap w:val="0"/>
            <w:vAlign w:val="center"/>
          </w:tcPr>
          <w:p w14:paraId="4D2E274E">
            <w:pPr>
              <w:pStyle w:val="39"/>
              <w:suppressLineNumbers w:val="0"/>
              <w:spacing w:before="0" w:beforeAutospacing="0" w:afterAutospacing="0"/>
              <w:ind w:left="0" w:right="0"/>
              <w:rPr>
                <w:rFonts w:hint="default" w:cs="Arial"/>
                <w:lang w:eastAsia="en-US"/>
              </w:rPr>
            </w:pPr>
            <w:r>
              <w:rPr>
                <w:rFonts w:hint="default" w:cs="Arial"/>
                <w:lang w:eastAsia="en-US"/>
              </w:rPr>
              <w:t>70</w:t>
            </w:r>
          </w:p>
        </w:tc>
        <w:tc>
          <w:tcPr>
            <w:tcW w:w="1139" w:type="pct"/>
            <w:noWrap w:val="0"/>
            <w:vAlign w:val="center"/>
          </w:tcPr>
          <w:p w14:paraId="1B91BB1E">
            <w:pPr>
              <w:pStyle w:val="39"/>
              <w:suppressLineNumbers w:val="0"/>
              <w:spacing w:before="0" w:beforeAutospacing="0" w:afterAutospacing="0"/>
              <w:ind w:left="0" w:right="0"/>
              <w:rPr>
                <w:rFonts w:hint="default" w:cs="Arial"/>
                <w:lang w:eastAsia="en-US"/>
              </w:rPr>
            </w:pPr>
            <w:r>
              <w:rPr>
                <w:rFonts w:hint="default" w:cs="Arial"/>
                <w:lang w:eastAsia="en-US"/>
              </w:rPr>
              <w:t>70</w:t>
            </w:r>
          </w:p>
        </w:tc>
        <w:tc>
          <w:tcPr>
            <w:tcW w:w="1139" w:type="pct"/>
            <w:noWrap w:val="0"/>
            <w:vAlign w:val="center"/>
          </w:tcPr>
          <w:p w14:paraId="694FC2A8">
            <w:pPr>
              <w:pStyle w:val="39"/>
              <w:suppressLineNumbers w:val="0"/>
              <w:spacing w:before="0" w:beforeAutospacing="0" w:afterAutospacing="0"/>
              <w:ind w:left="0" w:right="0"/>
              <w:rPr>
                <w:rFonts w:hint="default" w:cs="Arial"/>
                <w:lang w:eastAsia="en-US"/>
              </w:rPr>
            </w:pPr>
            <w:r>
              <w:rPr>
                <w:rFonts w:hint="default" w:cs="Arial"/>
                <w:lang w:eastAsia="en-US"/>
              </w:rPr>
              <w:t>70</w:t>
            </w:r>
          </w:p>
        </w:tc>
      </w:tr>
      <w:tr w14:paraId="43AF52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73723001">
            <w:pPr>
              <w:pStyle w:val="39"/>
              <w:suppressLineNumbers w:val="0"/>
              <w:spacing w:before="0" w:beforeAutospacing="0" w:afterAutospacing="0"/>
              <w:ind w:left="0" w:right="0"/>
              <w:rPr>
                <w:rFonts w:hint="default" w:cs="Arial"/>
                <w:lang w:eastAsia="en-US"/>
              </w:rPr>
            </w:pPr>
            <w:r>
              <w:rPr>
                <w:rFonts w:hint="default" w:cs="Arial"/>
                <w:lang w:eastAsia="en-US"/>
              </w:rPr>
              <w:t>BS ACLR in dB</w:t>
            </w:r>
          </w:p>
        </w:tc>
        <w:tc>
          <w:tcPr>
            <w:tcW w:w="1139" w:type="pct"/>
            <w:noWrap w:val="0"/>
            <w:vAlign w:val="center"/>
          </w:tcPr>
          <w:p w14:paraId="2ECB5879">
            <w:pPr>
              <w:pStyle w:val="39"/>
              <w:suppressLineNumbers w:val="0"/>
              <w:spacing w:before="0" w:beforeAutospacing="0" w:afterAutospacing="0"/>
              <w:ind w:left="0" w:right="0"/>
              <w:rPr>
                <w:rFonts w:hint="default" w:cs="Arial"/>
                <w:lang w:eastAsia="en-US"/>
              </w:rPr>
            </w:pPr>
            <w:r>
              <w:rPr>
                <w:rFonts w:hint="default" w:cs="Arial"/>
                <w:lang w:eastAsia="en-US"/>
              </w:rPr>
              <w:t>40 to 60</w:t>
            </w:r>
          </w:p>
        </w:tc>
        <w:tc>
          <w:tcPr>
            <w:tcW w:w="1139" w:type="pct"/>
            <w:noWrap w:val="0"/>
            <w:vAlign w:val="center"/>
          </w:tcPr>
          <w:p w14:paraId="45A7EC65">
            <w:pPr>
              <w:pStyle w:val="39"/>
              <w:suppressLineNumbers w:val="0"/>
              <w:spacing w:before="0" w:beforeAutospacing="0" w:afterAutospacing="0"/>
              <w:ind w:left="0" w:right="0"/>
              <w:rPr>
                <w:rFonts w:hint="default" w:cs="Arial"/>
                <w:lang w:eastAsia="en-US"/>
              </w:rPr>
            </w:pPr>
            <w:r>
              <w:rPr>
                <w:rFonts w:hint="default" w:cs="Arial"/>
                <w:lang w:eastAsia="en-US"/>
              </w:rPr>
              <w:t>n/a</w:t>
            </w:r>
          </w:p>
        </w:tc>
        <w:tc>
          <w:tcPr>
            <w:tcW w:w="1139" w:type="pct"/>
            <w:noWrap w:val="0"/>
            <w:vAlign w:val="center"/>
          </w:tcPr>
          <w:p w14:paraId="6C55283F">
            <w:pPr>
              <w:pStyle w:val="39"/>
              <w:suppressLineNumbers w:val="0"/>
              <w:spacing w:before="0" w:beforeAutospacing="0" w:afterAutospacing="0"/>
              <w:ind w:left="0" w:right="0"/>
              <w:rPr>
                <w:rFonts w:hint="default" w:cs="Arial"/>
                <w:lang w:eastAsia="en-US"/>
              </w:rPr>
            </w:pPr>
            <w:r>
              <w:rPr>
                <w:rFonts w:hint="default" w:cs="Arial"/>
                <w:lang w:eastAsia="en-US"/>
              </w:rPr>
              <w:t>45</w:t>
            </w:r>
          </w:p>
        </w:tc>
      </w:tr>
      <w:tr w14:paraId="3C3596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2D9CDC72">
            <w:pPr>
              <w:pStyle w:val="39"/>
              <w:suppressLineNumbers w:val="0"/>
              <w:spacing w:before="0" w:beforeAutospacing="0" w:afterAutospacing="0"/>
              <w:ind w:left="0" w:right="0"/>
              <w:rPr>
                <w:rFonts w:hint="default" w:cs="Arial"/>
                <w:lang w:eastAsia="en-US"/>
              </w:rPr>
            </w:pPr>
            <w:r>
              <w:rPr>
                <w:rFonts w:hint="default" w:cs="Arial"/>
                <w:lang w:eastAsia="en-US"/>
              </w:rPr>
              <w:t>BS ACS in dB</w:t>
            </w:r>
          </w:p>
        </w:tc>
        <w:tc>
          <w:tcPr>
            <w:tcW w:w="1139" w:type="pct"/>
            <w:noWrap w:val="0"/>
            <w:vAlign w:val="center"/>
          </w:tcPr>
          <w:p w14:paraId="0E74AD8F">
            <w:pPr>
              <w:pStyle w:val="39"/>
              <w:suppressLineNumbers w:val="0"/>
              <w:spacing w:before="0" w:beforeAutospacing="0" w:afterAutospacing="0"/>
              <w:ind w:left="0" w:right="0"/>
              <w:rPr>
                <w:rFonts w:hint="default" w:cs="Arial"/>
                <w:lang w:eastAsia="en-US"/>
              </w:rPr>
            </w:pPr>
            <w:r>
              <w:rPr>
                <w:rFonts w:hint="default" w:cs="Arial"/>
                <w:lang w:eastAsia="en-US"/>
              </w:rPr>
              <w:t>40 to 50</w:t>
            </w:r>
          </w:p>
        </w:tc>
        <w:tc>
          <w:tcPr>
            <w:tcW w:w="1139" w:type="pct"/>
            <w:noWrap w:val="0"/>
            <w:vAlign w:val="center"/>
          </w:tcPr>
          <w:p w14:paraId="5241D869">
            <w:pPr>
              <w:pStyle w:val="39"/>
              <w:suppressLineNumbers w:val="0"/>
              <w:spacing w:before="0" w:beforeAutospacing="0" w:afterAutospacing="0"/>
              <w:ind w:left="0" w:right="0"/>
              <w:rPr>
                <w:rFonts w:hint="default" w:cs="Arial"/>
                <w:lang w:eastAsia="en-US"/>
              </w:rPr>
            </w:pPr>
            <w:r>
              <w:rPr>
                <w:rFonts w:hint="default" w:cs="Arial"/>
                <w:lang w:eastAsia="en-US"/>
              </w:rPr>
              <w:t>n/a</w:t>
            </w:r>
          </w:p>
        </w:tc>
        <w:tc>
          <w:tcPr>
            <w:tcW w:w="1139" w:type="pct"/>
            <w:noWrap w:val="0"/>
            <w:vAlign w:val="center"/>
          </w:tcPr>
          <w:p w14:paraId="58558D2B">
            <w:pPr>
              <w:pStyle w:val="39"/>
              <w:suppressLineNumbers w:val="0"/>
              <w:spacing w:before="0" w:beforeAutospacing="0" w:afterAutospacing="0"/>
              <w:ind w:left="0" w:right="0"/>
              <w:rPr>
                <w:rFonts w:hint="default" w:cs="Arial"/>
                <w:lang w:eastAsia="en-US"/>
              </w:rPr>
            </w:pPr>
            <w:r>
              <w:rPr>
                <w:rFonts w:hint="default" w:cs="Arial"/>
                <w:lang w:eastAsia="en-US"/>
              </w:rPr>
              <w:t>45</w:t>
            </w:r>
          </w:p>
        </w:tc>
      </w:tr>
      <w:tr w14:paraId="15C9EB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0CF47A93">
            <w:pPr>
              <w:pStyle w:val="39"/>
              <w:suppressLineNumbers w:val="0"/>
              <w:spacing w:before="0" w:beforeAutospacing="0" w:afterAutospacing="0"/>
              <w:ind w:left="0" w:right="0"/>
              <w:rPr>
                <w:rFonts w:hint="default" w:cs="Arial"/>
                <w:lang w:eastAsia="en-US"/>
              </w:rPr>
            </w:pPr>
            <w:r>
              <w:rPr>
                <w:rFonts w:hint="default" w:cs="Arial"/>
                <w:lang w:eastAsia="en-US"/>
              </w:rPr>
              <w:t>UE ACLR in dB</w:t>
            </w:r>
          </w:p>
        </w:tc>
        <w:tc>
          <w:tcPr>
            <w:tcW w:w="1139" w:type="pct"/>
            <w:noWrap w:val="0"/>
            <w:vAlign w:val="center"/>
          </w:tcPr>
          <w:p w14:paraId="2035F4D1">
            <w:pPr>
              <w:pStyle w:val="39"/>
              <w:suppressLineNumbers w:val="0"/>
              <w:spacing w:before="0" w:beforeAutospacing="0" w:afterAutospacing="0"/>
              <w:ind w:left="0" w:right="0"/>
              <w:rPr>
                <w:rFonts w:hint="default" w:cs="Arial"/>
                <w:lang w:eastAsia="en-US"/>
              </w:rPr>
            </w:pPr>
            <w:r>
              <w:rPr>
                <w:rFonts w:hint="default" w:cs="Arial"/>
                <w:lang w:eastAsia="en-US"/>
              </w:rPr>
              <w:t>20 to 50</w:t>
            </w:r>
          </w:p>
        </w:tc>
        <w:tc>
          <w:tcPr>
            <w:tcW w:w="1139" w:type="pct"/>
            <w:noWrap w:val="0"/>
            <w:vAlign w:val="center"/>
          </w:tcPr>
          <w:p w14:paraId="15A6DB17">
            <w:pPr>
              <w:pStyle w:val="39"/>
              <w:suppressLineNumbers w:val="0"/>
              <w:spacing w:before="0" w:beforeAutospacing="0" w:afterAutospacing="0"/>
              <w:ind w:left="0" w:right="0"/>
              <w:rPr>
                <w:rFonts w:hint="default" w:cs="Arial"/>
                <w:lang w:eastAsia="en-US"/>
              </w:rPr>
            </w:pPr>
            <w:r>
              <w:rPr>
                <w:rFonts w:hint="default" w:cs="Arial"/>
                <w:lang w:eastAsia="en-US"/>
              </w:rPr>
              <w:t>n/a</w:t>
            </w:r>
          </w:p>
        </w:tc>
        <w:tc>
          <w:tcPr>
            <w:tcW w:w="1139" w:type="pct"/>
            <w:noWrap w:val="0"/>
            <w:vAlign w:val="center"/>
          </w:tcPr>
          <w:p w14:paraId="27F4CCDD">
            <w:pPr>
              <w:pStyle w:val="39"/>
              <w:suppressLineNumbers w:val="0"/>
              <w:spacing w:before="0" w:beforeAutospacing="0" w:afterAutospacing="0"/>
              <w:ind w:left="0" w:right="0"/>
              <w:rPr>
                <w:rFonts w:hint="default" w:cs="Arial"/>
                <w:lang w:eastAsia="en-US"/>
              </w:rPr>
            </w:pPr>
            <w:r>
              <w:rPr>
                <w:rFonts w:hint="default" w:cs="Arial"/>
                <w:lang w:eastAsia="en-US"/>
              </w:rPr>
              <w:t>30 (ACLR1) 43 (ACLR2)</w:t>
            </w:r>
          </w:p>
        </w:tc>
      </w:tr>
      <w:tr w14:paraId="46BAE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26DC225E">
            <w:pPr>
              <w:pStyle w:val="39"/>
              <w:suppressLineNumbers w:val="0"/>
              <w:spacing w:before="0" w:beforeAutospacing="0" w:afterAutospacing="0"/>
              <w:ind w:left="0" w:right="0"/>
              <w:rPr>
                <w:rFonts w:hint="default" w:cs="Arial"/>
                <w:lang w:eastAsia="en-US"/>
              </w:rPr>
            </w:pPr>
            <w:r>
              <w:rPr>
                <w:rFonts w:hint="default" w:cs="Arial"/>
                <w:lang w:eastAsia="en-US"/>
              </w:rPr>
              <w:t>UE ACS in dB</w:t>
            </w:r>
          </w:p>
        </w:tc>
        <w:tc>
          <w:tcPr>
            <w:tcW w:w="1139" w:type="pct"/>
            <w:noWrap w:val="0"/>
            <w:vAlign w:val="center"/>
          </w:tcPr>
          <w:p w14:paraId="0CA2C07A">
            <w:pPr>
              <w:pStyle w:val="39"/>
              <w:suppressLineNumbers w:val="0"/>
              <w:spacing w:before="0" w:beforeAutospacing="0" w:afterAutospacing="0"/>
              <w:ind w:left="0" w:right="0"/>
              <w:rPr>
                <w:rFonts w:hint="default" w:cs="Arial"/>
                <w:lang w:eastAsia="en-US"/>
              </w:rPr>
            </w:pPr>
            <w:r>
              <w:rPr>
                <w:rFonts w:hint="default" w:cs="Arial"/>
                <w:lang w:eastAsia="en-US"/>
              </w:rPr>
              <w:t>20 to 40</w:t>
            </w:r>
          </w:p>
        </w:tc>
        <w:tc>
          <w:tcPr>
            <w:tcW w:w="1139" w:type="pct"/>
            <w:noWrap w:val="0"/>
            <w:vAlign w:val="center"/>
          </w:tcPr>
          <w:p w14:paraId="695022FA">
            <w:pPr>
              <w:pStyle w:val="39"/>
              <w:suppressLineNumbers w:val="0"/>
              <w:spacing w:before="0" w:beforeAutospacing="0" w:afterAutospacing="0"/>
              <w:ind w:left="0" w:right="0"/>
              <w:rPr>
                <w:rFonts w:hint="default" w:cs="Arial"/>
                <w:lang w:eastAsia="en-US"/>
              </w:rPr>
            </w:pPr>
            <w:r>
              <w:rPr>
                <w:rFonts w:hint="default" w:cs="Arial"/>
                <w:lang w:eastAsia="en-US"/>
              </w:rPr>
              <w:t>n/a</w:t>
            </w:r>
          </w:p>
        </w:tc>
        <w:tc>
          <w:tcPr>
            <w:tcW w:w="1139" w:type="pct"/>
            <w:noWrap w:val="0"/>
            <w:vAlign w:val="center"/>
          </w:tcPr>
          <w:p w14:paraId="11A46F2F">
            <w:pPr>
              <w:pStyle w:val="39"/>
              <w:suppressLineNumbers w:val="0"/>
              <w:spacing w:before="0" w:beforeAutospacing="0" w:afterAutospacing="0"/>
              <w:ind w:left="0" w:right="0"/>
              <w:rPr>
                <w:rFonts w:hint="default" w:cs="Arial"/>
                <w:lang w:eastAsia="en-US"/>
              </w:rPr>
            </w:pPr>
            <w:r>
              <w:rPr>
                <w:rFonts w:hint="default" w:cs="Arial"/>
                <w:lang w:eastAsia="en-US"/>
              </w:rPr>
              <w:t>33</w:t>
            </w:r>
          </w:p>
        </w:tc>
      </w:tr>
      <w:tr w14:paraId="3BE65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48C6DDE2">
            <w:pPr>
              <w:pStyle w:val="39"/>
              <w:suppressLineNumbers w:val="0"/>
              <w:spacing w:before="0" w:beforeAutospacing="0" w:afterAutospacing="0"/>
              <w:ind w:left="0" w:right="0"/>
              <w:rPr>
                <w:rFonts w:hint="default" w:cs="Arial"/>
                <w:lang w:eastAsia="en-US"/>
              </w:rPr>
            </w:pPr>
            <w:r>
              <w:rPr>
                <w:rFonts w:hint="default" w:cs="Arial"/>
                <w:lang w:eastAsia="en-US"/>
              </w:rPr>
              <w:t xml:space="preserve">BS noise figure in </w:t>
            </w:r>
            <w:r>
              <w:rPr>
                <w:rFonts w:hint="default" w:cs="Arial"/>
                <w:i/>
                <w:lang w:eastAsia="en-US"/>
              </w:rPr>
              <w:t>dB</w:t>
            </w:r>
          </w:p>
        </w:tc>
        <w:tc>
          <w:tcPr>
            <w:tcW w:w="1139" w:type="pct"/>
            <w:noWrap w:val="0"/>
            <w:vAlign w:val="center"/>
          </w:tcPr>
          <w:p w14:paraId="07ECB6E3">
            <w:pPr>
              <w:pStyle w:val="39"/>
              <w:suppressLineNumbers w:val="0"/>
              <w:spacing w:before="0" w:beforeAutospacing="0" w:afterAutospacing="0"/>
              <w:ind w:left="0" w:right="0"/>
              <w:rPr>
                <w:rFonts w:hint="default" w:cs="Arial"/>
                <w:lang w:eastAsia="en-US"/>
              </w:rPr>
            </w:pPr>
            <w:r>
              <w:rPr>
                <w:rFonts w:hint="default" w:cs="Arial"/>
                <w:lang w:eastAsia="en-US"/>
              </w:rPr>
              <w:t>5</w:t>
            </w:r>
          </w:p>
        </w:tc>
        <w:tc>
          <w:tcPr>
            <w:tcW w:w="1139" w:type="pct"/>
            <w:noWrap w:val="0"/>
            <w:vAlign w:val="center"/>
          </w:tcPr>
          <w:p w14:paraId="02BB8100">
            <w:pPr>
              <w:pStyle w:val="39"/>
              <w:suppressLineNumbers w:val="0"/>
              <w:spacing w:before="0" w:beforeAutospacing="0" w:afterAutospacing="0"/>
              <w:ind w:left="0" w:right="0"/>
              <w:rPr>
                <w:rFonts w:hint="default" w:cs="Arial"/>
                <w:lang w:eastAsia="ja-JP"/>
              </w:rPr>
            </w:pPr>
            <w:r>
              <w:rPr>
                <w:rFonts w:hint="default" w:cs="Arial"/>
                <w:lang w:eastAsia="ja-JP"/>
              </w:rPr>
              <w:t>5</w:t>
            </w:r>
          </w:p>
        </w:tc>
        <w:tc>
          <w:tcPr>
            <w:tcW w:w="1139" w:type="pct"/>
            <w:noWrap w:val="0"/>
            <w:vAlign w:val="center"/>
          </w:tcPr>
          <w:p w14:paraId="06CC41A2">
            <w:pPr>
              <w:pStyle w:val="39"/>
              <w:suppressLineNumbers w:val="0"/>
              <w:spacing w:before="0" w:beforeAutospacing="0" w:afterAutospacing="0"/>
              <w:ind w:left="0" w:right="0"/>
              <w:rPr>
                <w:rFonts w:hint="default" w:cs="Arial"/>
                <w:lang w:eastAsia="en-US"/>
              </w:rPr>
            </w:pPr>
            <w:r>
              <w:rPr>
                <w:rFonts w:hint="default" w:cs="Arial"/>
                <w:lang w:eastAsia="en-US"/>
              </w:rPr>
              <w:t>5</w:t>
            </w:r>
          </w:p>
        </w:tc>
      </w:tr>
      <w:tr w14:paraId="5CAA5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1E62271A">
            <w:pPr>
              <w:pStyle w:val="39"/>
              <w:suppressLineNumbers w:val="0"/>
              <w:spacing w:before="0" w:beforeAutospacing="0" w:afterAutospacing="0"/>
              <w:ind w:left="0" w:right="0"/>
              <w:rPr>
                <w:rFonts w:hint="default" w:cs="Arial"/>
                <w:lang w:val="fr-FR" w:eastAsia="en-US"/>
              </w:rPr>
            </w:pPr>
            <w:r>
              <w:rPr>
                <w:rFonts w:hint="default" w:cs="Arial"/>
                <w:lang w:val="fr-FR" w:eastAsia="en-US"/>
              </w:rPr>
              <w:t xml:space="preserve">UE noise figure in </w:t>
            </w:r>
            <w:r>
              <w:rPr>
                <w:rFonts w:hint="default" w:cs="Arial"/>
                <w:i/>
                <w:lang w:val="fr-FR" w:eastAsia="en-US"/>
              </w:rPr>
              <w:t>dB</w:t>
            </w:r>
          </w:p>
        </w:tc>
        <w:tc>
          <w:tcPr>
            <w:tcW w:w="1139" w:type="pct"/>
            <w:noWrap w:val="0"/>
            <w:vAlign w:val="center"/>
          </w:tcPr>
          <w:p w14:paraId="1C61A359">
            <w:pPr>
              <w:pStyle w:val="39"/>
              <w:suppressLineNumbers w:val="0"/>
              <w:spacing w:before="0" w:beforeAutospacing="0" w:afterAutospacing="0"/>
              <w:ind w:left="0" w:right="0"/>
              <w:jc w:val="left"/>
              <w:rPr>
                <w:rFonts w:hint="default" w:cs="Arial"/>
                <w:lang w:eastAsia="zh-CN"/>
              </w:rPr>
            </w:pPr>
            <w:r>
              <w:rPr>
                <w:rFonts w:hint="default" w:cs="Arial"/>
                <w:lang w:eastAsia="zh-CN"/>
              </w:rPr>
              <w:t>Device 2b: 15 dB</w:t>
            </w:r>
          </w:p>
          <w:p w14:paraId="6890A5C7">
            <w:pPr>
              <w:pStyle w:val="39"/>
              <w:suppressLineNumbers w:val="0"/>
              <w:spacing w:before="0" w:beforeAutospacing="0" w:afterAutospacing="0"/>
              <w:ind w:left="0" w:right="0"/>
              <w:jc w:val="left"/>
              <w:rPr>
                <w:rFonts w:hint="default" w:cs="Arial"/>
                <w:lang w:eastAsia="en-US"/>
              </w:rPr>
            </w:pPr>
            <w:r>
              <w:rPr>
                <w:rFonts w:hint="default" w:cs="Arial"/>
                <w:lang w:eastAsia="zh-CN"/>
              </w:rPr>
              <w:t>Device C: 13 dB</w:t>
            </w:r>
          </w:p>
        </w:tc>
        <w:tc>
          <w:tcPr>
            <w:tcW w:w="1139" w:type="pct"/>
            <w:noWrap w:val="0"/>
            <w:vAlign w:val="center"/>
          </w:tcPr>
          <w:p w14:paraId="6D1ECEAE">
            <w:pPr>
              <w:pStyle w:val="39"/>
              <w:suppressLineNumbers w:val="0"/>
              <w:spacing w:before="0" w:beforeAutospacing="0" w:afterAutospacing="0"/>
              <w:ind w:left="0" w:right="0"/>
              <w:jc w:val="left"/>
              <w:rPr>
                <w:rFonts w:hint="default" w:cs="Arial"/>
                <w:lang w:eastAsia="zh-CN"/>
              </w:rPr>
            </w:pPr>
            <w:r>
              <w:rPr>
                <w:rFonts w:hint="default" w:cs="Arial"/>
                <w:lang w:eastAsia="zh-CN"/>
              </w:rPr>
              <w:t>Device 2b: 15 dB</w:t>
            </w:r>
          </w:p>
          <w:p w14:paraId="1200E1A1">
            <w:pPr>
              <w:pStyle w:val="39"/>
              <w:suppressLineNumbers w:val="0"/>
              <w:spacing w:before="0" w:beforeAutospacing="0" w:afterAutospacing="0"/>
              <w:ind w:left="0" w:right="0"/>
              <w:jc w:val="left"/>
              <w:rPr>
                <w:rFonts w:hint="default" w:cs="Arial"/>
                <w:lang w:eastAsia="en-US"/>
              </w:rPr>
            </w:pPr>
            <w:r>
              <w:rPr>
                <w:rFonts w:hint="default" w:cs="Arial"/>
                <w:lang w:eastAsia="zh-CN"/>
              </w:rPr>
              <w:t>Device C: 13 dB</w:t>
            </w:r>
          </w:p>
        </w:tc>
        <w:tc>
          <w:tcPr>
            <w:tcW w:w="1139" w:type="pct"/>
            <w:noWrap w:val="0"/>
            <w:vAlign w:val="center"/>
          </w:tcPr>
          <w:p w14:paraId="4CB103A0">
            <w:pPr>
              <w:pStyle w:val="39"/>
              <w:suppressLineNumbers w:val="0"/>
              <w:spacing w:before="0" w:beforeAutospacing="0" w:afterAutospacing="0"/>
              <w:ind w:left="0" w:right="0"/>
              <w:jc w:val="left"/>
              <w:rPr>
                <w:rFonts w:hint="default" w:cs="Arial"/>
                <w:lang w:eastAsia="en-US"/>
              </w:rPr>
            </w:pPr>
            <w:r>
              <w:rPr>
                <w:rFonts w:hint="default" w:cs="Arial"/>
                <w:lang w:eastAsia="en-US"/>
              </w:rPr>
              <w:t>9</w:t>
            </w:r>
          </w:p>
        </w:tc>
      </w:tr>
      <w:tr w14:paraId="5B84B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687420F6">
            <w:pPr>
              <w:pStyle w:val="39"/>
              <w:suppressLineNumbers w:val="0"/>
              <w:spacing w:before="0" w:beforeAutospacing="0" w:afterAutospacing="0"/>
              <w:ind w:left="0" w:right="0"/>
              <w:rPr>
                <w:rFonts w:hint="default" w:cs="Arial"/>
                <w:lang w:eastAsia="en-US"/>
              </w:rPr>
            </w:pPr>
            <w:r>
              <w:rPr>
                <w:rFonts w:hint="default" w:cs="Arial"/>
                <w:lang w:eastAsia="en-US"/>
              </w:rPr>
              <w:t>BS-UE path-loss model</w:t>
            </w:r>
          </w:p>
        </w:tc>
        <w:tc>
          <w:tcPr>
            <w:tcW w:w="1139" w:type="pct"/>
            <w:noWrap w:val="0"/>
            <w:vAlign w:val="center"/>
          </w:tcPr>
          <w:p w14:paraId="7CCDDDE7">
            <w:pPr>
              <w:pStyle w:val="39"/>
              <w:suppressLineNumbers w:val="0"/>
              <w:spacing w:before="0" w:beforeAutospacing="0" w:afterAutospacing="0"/>
              <w:ind w:left="0" w:right="0"/>
              <w:rPr>
                <w:rFonts w:hint="default" w:cs="Arial"/>
                <w:lang w:eastAsia="en-US"/>
              </w:rPr>
            </w:pPr>
            <w:r>
              <w:rPr>
                <w:rFonts w:hint="default" w:cs="Arial"/>
                <w:lang w:eastAsia="en-US"/>
              </w:rPr>
              <w:t>TR3</w:t>
            </w:r>
            <w:r>
              <w:rPr>
                <w:rFonts w:hint="eastAsia" w:eastAsia="宋体" w:cs="Arial"/>
                <w:lang w:val="en-US" w:eastAsia="zh-CN"/>
              </w:rPr>
              <w:t>8.901</w:t>
            </w:r>
            <w:r>
              <w:rPr>
                <w:rFonts w:hint="default" w:cs="Arial"/>
                <w:lang w:eastAsia="en-US"/>
              </w:rPr>
              <w:t xml:space="preserve"> macro urban</w:t>
            </w:r>
          </w:p>
        </w:tc>
        <w:tc>
          <w:tcPr>
            <w:tcW w:w="1139" w:type="pct"/>
            <w:noWrap w:val="0"/>
            <w:vAlign w:val="center"/>
          </w:tcPr>
          <w:p w14:paraId="6AC26BFE">
            <w:pPr>
              <w:pStyle w:val="39"/>
              <w:suppressLineNumbers w:val="0"/>
              <w:spacing w:before="0" w:beforeAutospacing="0" w:afterAutospacing="0"/>
              <w:ind w:left="0" w:right="0"/>
              <w:rPr>
                <w:rFonts w:hint="default" w:cs="Arial"/>
                <w:lang w:eastAsia="en-US"/>
              </w:rPr>
            </w:pPr>
            <w:r>
              <w:rPr>
                <w:rFonts w:hint="default" w:cs="Arial"/>
                <w:lang w:eastAsia="en-US"/>
              </w:rPr>
              <w:t>TR3</w:t>
            </w:r>
            <w:r>
              <w:rPr>
                <w:rFonts w:hint="eastAsia" w:eastAsia="宋体" w:cs="Arial"/>
                <w:lang w:val="en-US" w:eastAsia="zh-CN"/>
              </w:rPr>
              <w:t>8.901</w:t>
            </w:r>
            <w:r>
              <w:rPr>
                <w:rFonts w:hint="default" w:cs="Arial"/>
                <w:lang w:eastAsia="en-US"/>
              </w:rPr>
              <w:t xml:space="preserve"> macro urban</w:t>
            </w:r>
          </w:p>
        </w:tc>
        <w:tc>
          <w:tcPr>
            <w:tcW w:w="1139" w:type="pct"/>
            <w:noWrap w:val="0"/>
            <w:vAlign w:val="center"/>
          </w:tcPr>
          <w:p w14:paraId="5F45ED33">
            <w:pPr>
              <w:pStyle w:val="39"/>
              <w:suppressLineNumbers w:val="0"/>
              <w:spacing w:before="0" w:beforeAutospacing="0" w:afterAutospacing="0"/>
              <w:ind w:left="0" w:right="0"/>
              <w:rPr>
                <w:rFonts w:hint="default" w:cs="Arial"/>
                <w:lang w:eastAsia="en-US"/>
              </w:rPr>
            </w:pPr>
            <w:r>
              <w:rPr>
                <w:rFonts w:hint="default" w:cs="Arial"/>
                <w:lang w:eastAsia="en-US"/>
              </w:rPr>
              <w:t>TR3</w:t>
            </w:r>
            <w:r>
              <w:rPr>
                <w:rFonts w:hint="eastAsia" w:eastAsia="宋体" w:cs="Arial"/>
                <w:lang w:val="en-US" w:eastAsia="zh-CN"/>
              </w:rPr>
              <w:t>8.901</w:t>
            </w:r>
            <w:r>
              <w:rPr>
                <w:rFonts w:hint="default" w:cs="Arial"/>
                <w:lang w:eastAsia="en-US"/>
              </w:rPr>
              <w:t xml:space="preserve"> macro urban</w:t>
            </w:r>
          </w:p>
        </w:tc>
      </w:tr>
      <w:tr w14:paraId="476E9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33E831EE">
            <w:pPr>
              <w:pStyle w:val="39"/>
              <w:suppressLineNumbers w:val="0"/>
              <w:spacing w:before="0" w:beforeAutospacing="0" w:afterAutospacing="0"/>
              <w:ind w:left="0" w:right="0"/>
              <w:rPr>
                <w:rFonts w:hint="default" w:cs="Arial"/>
                <w:lang w:eastAsia="en-US"/>
              </w:rPr>
            </w:pPr>
            <w:r>
              <w:rPr>
                <w:rFonts w:hint="default" w:cs="Arial"/>
                <w:lang w:eastAsia="en-US"/>
              </w:rPr>
              <w:t xml:space="preserve">Standard deviation of BS-UE log-normal shadow fading in </w:t>
            </w:r>
            <w:r>
              <w:rPr>
                <w:rFonts w:hint="default" w:cs="Arial"/>
                <w:i/>
                <w:lang w:eastAsia="en-US"/>
              </w:rPr>
              <w:t>dB</w:t>
            </w:r>
          </w:p>
        </w:tc>
        <w:tc>
          <w:tcPr>
            <w:tcW w:w="1139" w:type="pct"/>
            <w:noWrap w:val="0"/>
            <w:vAlign w:val="center"/>
          </w:tcPr>
          <w:p w14:paraId="4B1B1762">
            <w:pPr>
              <w:pStyle w:val="39"/>
              <w:suppressLineNumbers w:val="0"/>
              <w:spacing w:before="0" w:beforeAutospacing="0" w:afterAutospacing="0"/>
              <w:ind w:left="0" w:right="0"/>
              <w:rPr>
                <w:rFonts w:hint="default" w:cs="Arial"/>
                <w:lang w:eastAsia="en-US"/>
              </w:rPr>
            </w:pPr>
            <w:r>
              <w:rPr>
                <w:rFonts w:hint="default" w:cs="Arial"/>
                <w:lang w:eastAsia="en-US"/>
              </w:rPr>
              <w:t>TR3</w:t>
            </w:r>
            <w:r>
              <w:rPr>
                <w:rFonts w:hint="eastAsia" w:eastAsia="宋体" w:cs="Arial"/>
                <w:lang w:val="en-US" w:eastAsia="zh-CN"/>
              </w:rPr>
              <w:t>8.901</w:t>
            </w:r>
            <w:r>
              <w:rPr>
                <w:rFonts w:hint="default" w:cs="Arial"/>
                <w:lang w:eastAsia="en-US"/>
              </w:rPr>
              <w:t xml:space="preserve"> macro urban</w:t>
            </w:r>
          </w:p>
        </w:tc>
        <w:tc>
          <w:tcPr>
            <w:tcW w:w="1139" w:type="pct"/>
            <w:noWrap w:val="0"/>
            <w:vAlign w:val="center"/>
          </w:tcPr>
          <w:p w14:paraId="77F0FF41">
            <w:pPr>
              <w:pStyle w:val="39"/>
              <w:suppressLineNumbers w:val="0"/>
              <w:spacing w:before="0" w:beforeAutospacing="0" w:afterAutospacing="0"/>
              <w:ind w:left="0" w:right="0"/>
              <w:rPr>
                <w:rFonts w:hint="default" w:cs="Arial"/>
                <w:lang w:eastAsia="en-US"/>
              </w:rPr>
            </w:pPr>
            <w:r>
              <w:rPr>
                <w:rFonts w:hint="default" w:cs="Arial"/>
                <w:lang w:eastAsia="en-US"/>
              </w:rPr>
              <w:t>TR3</w:t>
            </w:r>
            <w:r>
              <w:rPr>
                <w:rFonts w:hint="eastAsia" w:eastAsia="宋体" w:cs="Arial"/>
                <w:lang w:val="en-US" w:eastAsia="zh-CN"/>
              </w:rPr>
              <w:t>8.901</w:t>
            </w:r>
            <w:r>
              <w:rPr>
                <w:rFonts w:hint="default" w:cs="Arial"/>
                <w:lang w:eastAsia="en-US"/>
              </w:rPr>
              <w:t xml:space="preserve"> macro urban</w:t>
            </w:r>
          </w:p>
        </w:tc>
        <w:tc>
          <w:tcPr>
            <w:tcW w:w="1139" w:type="pct"/>
            <w:noWrap w:val="0"/>
            <w:vAlign w:val="center"/>
          </w:tcPr>
          <w:p w14:paraId="5D70F6F1">
            <w:pPr>
              <w:pStyle w:val="39"/>
              <w:suppressLineNumbers w:val="0"/>
              <w:spacing w:before="0" w:beforeAutospacing="0" w:afterAutospacing="0"/>
              <w:ind w:left="0" w:right="0"/>
              <w:rPr>
                <w:rFonts w:hint="default" w:cs="Arial"/>
                <w:lang w:eastAsia="en-US"/>
              </w:rPr>
            </w:pPr>
            <w:r>
              <w:rPr>
                <w:rFonts w:hint="default" w:cs="Arial"/>
                <w:lang w:eastAsia="en-US"/>
              </w:rPr>
              <w:t>TR3</w:t>
            </w:r>
            <w:r>
              <w:rPr>
                <w:rFonts w:hint="eastAsia" w:eastAsia="宋体" w:cs="Arial"/>
                <w:lang w:val="en-US" w:eastAsia="zh-CN"/>
              </w:rPr>
              <w:t>8.901</w:t>
            </w:r>
            <w:r>
              <w:rPr>
                <w:rFonts w:hint="default" w:cs="Arial"/>
                <w:lang w:eastAsia="en-US"/>
              </w:rPr>
              <w:t xml:space="preserve"> macro urban</w:t>
            </w:r>
          </w:p>
        </w:tc>
      </w:tr>
      <w:tr w14:paraId="66D5F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5F0F45A1">
            <w:pPr>
              <w:pStyle w:val="39"/>
              <w:suppressLineNumbers w:val="0"/>
              <w:spacing w:before="0" w:beforeAutospacing="0" w:afterAutospacing="0"/>
              <w:ind w:left="0" w:right="0"/>
              <w:rPr>
                <w:rFonts w:hint="default" w:cs="Arial"/>
                <w:lang w:eastAsia="en-US"/>
              </w:rPr>
            </w:pPr>
            <w:r>
              <w:rPr>
                <w:rFonts w:hint="default" w:cs="Arial"/>
                <w:lang w:eastAsia="en-US"/>
              </w:rPr>
              <w:t>Shadowing correlation</w:t>
            </w:r>
          </w:p>
        </w:tc>
        <w:tc>
          <w:tcPr>
            <w:tcW w:w="1139" w:type="pct"/>
            <w:noWrap w:val="0"/>
            <w:vAlign w:val="center"/>
          </w:tcPr>
          <w:p w14:paraId="0294B86F">
            <w:pPr>
              <w:pStyle w:val="39"/>
              <w:suppressLineNumbers w:val="0"/>
              <w:spacing w:before="0" w:beforeAutospacing="0" w:afterAutospacing="0"/>
              <w:ind w:left="0" w:right="0"/>
              <w:rPr>
                <w:rFonts w:hint="default" w:cs="Arial"/>
                <w:lang w:eastAsia="en-US"/>
              </w:rPr>
            </w:pPr>
            <w:r>
              <w:rPr>
                <w:rFonts w:hint="default" w:cs="Arial"/>
                <w:lang w:eastAsia="en-US"/>
              </w:rPr>
              <w:t>Inter-cell 0.5 intra-cell 1</w:t>
            </w:r>
          </w:p>
        </w:tc>
        <w:tc>
          <w:tcPr>
            <w:tcW w:w="1139" w:type="pct"/>
            <w:noWrap w:val="0"/>
            <w:vAlign w:val="center"/>
          </w:tcPr>
          <w:p w14:paraId="1177C27F">
            <w:pPr>
              <w:pStyle w:val="39"/>
              <w:suppressLineNumbers w:val="0"/>
              <w:spacing w:before="0" w:beforeAutospacing="0" w:afterAutospacing="0"/>
              <w:ind w:left="0" w:right="0"/>
              <w:rPr>
                <w:rFonts w:hint="default" w:cs="Arial"/>
                <w:lang w:eastAsia="en-US"/>
              </w:rPr>
            </w:pPr>
            <w:r>
              <w:rPr>
                <w:rFonts w:hint="default" w:cs="Arial"/>
                <w:lang w:eastAsia="en-US"/>
              </w:rPr>
              <w:t>Inter-cell 0.5 intra-cell 1</w:t>
            </w:r>
          </w:p>
        </w:tc>
        <w:tc>
          <w:tcPr>
            <w:tcW w:w="1139" w:type="pct"/>
            <w:noWrap w:val="0"/>
            <w:vAlign w:val="center"/>
          </w:tcPr>
          <w:p w14:paraId="548A8A10">
            <w:pPr>
              <w:pStyle w:val="39"/>
              <w:suppressLineNumbers w:val="0"/>
              <w:spacing w:before="0" w:beforeAutospacing="0" w:afterAutospacing="0"/>
              <w:ind w:left="0" w:right="0"/>
              <w:rPr>
                <w:rFonts w:hint="default" w:cs="Arial"/>
                <w:lang w:eastAsia="en-US"/>
              </w:rPr>
            </w:pPr>
            <w:r>
              <w:rPr>
                <w:rFonts w:hint="default" w:cs="Arial"/>
                <w:lang w:eastAsia="en-US"/>
              </w:rPr>
              <w:t>Inter-cell 0.5 intra-cell 1</w:t>
            </w:r>
          </w:p>
        </w:tc>
      </w:tr>
      <w:tr w14:paraId="71C7F1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7C173A7F">
            <w:pPr>
              <w:pStyle w:val="39"/>
              <w:suppressLineNumbers w:val="0"/>
              <w:spacing w:before="0" w:beforeAutospacing="0" w:afterAutospacing="0"/>
              <w:ind w:left="0" w:right="0"/>
              <w:rPr>
                <w:rFonts w:hint="default" w:cs="Arial"/>
                <w:lang w:eastAsia="en-US"/>
              </w:rPr>
            </w:pPr>
            <w:r>
              <w:rPr>
                <w:rFonts w:hint="default" w:cs="Arial"/>
                <w:lang w:eastAsia="en-US"/>
              </w:rPr>
              <w:t>Link-level performance model</w:t>
            </w:r>
          </w:p>
        </w:tc>
        <w:tc>
          <w:tcPr>
            <w:tcW w:w="1139" w:type="pct"/>
            <w:noWrap w:val="0"/>
            <w:vAlign w:val="center"/>
          </w:tcPr>
          <w:p w14:paraId="29686940">
            <w:pPr>
              <w:pStyle w:val="39"/>
              <w:suppressLineNumbers w:val="0"/>
              <w:spacing w:before="0" w:beforeAutospacing="0" w:afterAutospacing="0"/>
              <w:ind w:left="0" w:right="0"/>
              <w:rPr>
                <w:rFonts w:hint="default" w:cs="Arial"/>
                <w:lang w:eastAsia="en-US"/>
              </w:rPr>
            </w:pPr>
          </w:p>
        </w:tc>
        <w:tc>
          <w:tcPr>
            <w:tcW w:w="1139" w:type="pct"/>
            <w:noWrap w:val="0"/>
            <w:vAlign w:val="center"/>
          </w:tcPr>
          <w:p w14:paraId="0054C1D9">
            <w:pPr>
              <w:pStyle w:val="39"/>
              <w:suppressLineNumbers w:val="0"/>
              <w:spacing w:before="0" w:beforeAutospacing="0" w:afterAutospacing="0"/>
              <w:ind w:left="0" w:right="0"/>
              <w:rPr>
                <w:rFonts w:hint="default" w:cs="Arial"/>
                <w:lang w:eastAsia="en-US"/>
              </w:rPr>
            </w:pPr>
          </w:p>
        </w:tc>
        <w:tc>
          <w:tcPr>
            <w:tcW w:w="1139" w:type="pct"/>
            <w:noWrap w:val="0"/>
            <w:vAlign w:val="center"/>
          </w:tcPr>
          <w:p w14:paraId="3C0898CB">
            <w:pPr>
              <w:pStyle w:val="39"/>
              <w:suppressLineNumbers w:val="0"/>
              <w:spacing w:before="0" w:beforeAutospacing="0" w:afterAutospacing="0"/>
              <w:ind w:left="0" w:right="0"/>
              <w:rPr>
                <w:rFonts w:hint="default" w:cs="Arial"/>
                <w:lang w:eastAsia="en-US"/>
              </w:rPr>
            </w:pPr>
            <w:r>
              <w:rPr>
                <w:rFonts w:hint="default" w:cs="Arial"/>
                <w:lang w:eastAsia="en-US"/>
              </w:rPr>
              <w:t>As in Annex A.1 in 36.942</w:t>
            </w:r>
          </w:p>
        </w:tc>
      </w:tr>
      <w:tr w14:paraId="0353B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580" w:type="pct"/>
            <w:noWrap w:val="0"/>
            <w:vAlign w:val="center"/>
          </w:tcPr>
          <w:p w14:paraId="470E139F">
            <w:pPr>
              <w:pStyle w:val="39"/>
              <w:suppressLineNumbers w:val="0"/>
              <w:spacing w:before="0" w:beforeAutospacing="0" w:afterAutospacing="0"/>
              <w:ind w:left="0" w:right="0"/>
              <w:rPr>
                <w:rFonts w:hint="default" w:cs="Arial"/>
                <w:lang w:eastAsia="en-US"/>
              </w:rPr>
            </w:pPr>
            <w:r>
              <w:rPr>
                <w:rFonts w:hint="default" w:cs="Arial"/>
                <w:lang w:eastAsia="en-US"/>
              </w:rPr>
              <w:t>Evaluation metrics</w:t>
            </w:r>
          </w:p>
        </w:tc>
        <w:tc>
          <w:tcPr>
            <w:tcW w:w="1139" w:type="pct"/>
            <w:noWrap w:val="0"/>
            <w:vAlign w:val="center"/>
          </w:tcPr>
          <w:p w14:paraId="260F690A">
            <w:pPr>
              <w:pStyle w:val="39"/>
              <w:suppressLineNumbers w:val="0"/>
              <w:spacing w:before="0" w:beforeAutospacing="0" w:afterAutospacing="0"/>
              <w:ind w:left="0" w:right="0"/>
              <w:rPr>
                <w:rFonts w:hint="default" w:cs="Arial"/>
                <w:sz w:val="16"/>
                <w:szCs w:val="16"/>
                <w:lang w:eastAsia="en-US"/>
              </w:rPr>
            </w:pPr>
            <w:r>
              <w:rPr>
                <w:rFonts w:hint="default" w:cs="Arial"/>
                <w:sz w:val="16"/>
                <w:szCs w:val="16"/>
                <w:lang w:eastAsia="en-US"/>
              </w:rPr>
              <w:t xml:space="preserve">SINR </w:t>
            </w:r>
          </w:p>
        </w:tc>
        <w:tc>
          <w:tcPr>
            <w:tcW w:w="1139" w:type="pct"/>
            <w:noWrap w:val="0"/>
            <w:vAlign w:val="center"/>
          </w:tcPr>
          <w:p w14:paraId="1364D9FD">
            <w:pPr>
              <w:pStyle w:val="39"/>
              <w:suppressLineNumbers w:val="0"/>
              <w:spacing w:before="0" w:beforeAutospacing="0" w:afterAutospacing="0"/>
              <w:ind w:left="0" w:right="0"/>
              <w:rPr>
                <w:rFonts w:hint="default" w:cs="Arial"/>
                <w:sz w:val="16"/>
                <w:szCs w:val="16"/>
                <w:lang w:eastAsia="en-US"/>
              </w:rPr>
            </w:pPr>
            <w:r>
              <w:rPr>
                <w:rFonts w:hint="default" w:cs="Arial"/>
                <w:sz w:val="16"/>
                <w:szCs w:val="16"/>
                <w:lang w:eastAsia="en-US"/>
              </w:rPr>
              <w:t>SINR</w:t>
            </w:r>
          </w:p>
        </w:tc>
        <w:tc>
          <w:tcPr>
            <w:tcW w:w="1139" w:type="pct"/>
            <w:noWrap w:val="0"/>
            <w:vAlign w:val="center"/>
          </w:tcPr>
          <w:p w14:paraId="67869DFA">
            <w:pPr>
              <w:pStyle w:val="39"/>
              <w:suppressLineNumbers w:val="0"/>
              <w:spacing w:before="0" w:beforeAutospacing="0" w:afterAutospacing="0"/>
              <w:ind w:left="0" w:right="0"/>
              <w:rPr>
                <w:rFonts w:hint="default" w:eastAsia="宋体" w:cs="Arial"/>
                <w:sz w:val="16"/>
                <w:szCs w:val="16"/>
                <w:lang w:val="en-US" w:eastAsia="zh-CN"/>
              </w:rPr>
            </w:pPr>
            <w:r>
              <w:rPr>
                <w:rFonts w:hint="eastAsia" w:eastAsia="宋体" w:cs="Arial"/>
                <w:sz w:val="16"/>
                <w:szCs w:val="16"/>
                <w:lang w:val="en-US" w:eastAsia="zh-CN"/>
              </w:rPr>
              <w:t>Throughput loss</w:t>
            </w:r>
          </w:p>
        </w:tc>
      </w:tr>
    </w:tbl>
    <w:p w14:paraId="4F5CFCF5">
      <w:pPr>
        <w:numPr>
          <w:ilvl w:val="0"/>
          <w:numId w:val="0"/>
        </w:numPr>
        <w:tabs>
          <w:tab w:val="left" w:pos="2127"/>
        </w:tabs>
        <w:spacing w:after="0"/>
        <w:jc w:val="both"/>
        <w:rPr>
          <w:rFonts w:hint="default"/>
          <w:lang w:val="en-US" w:eastAsia="zh-CN"/>
        </w:rPr>
      </w:pPr>
    </w:p>
    <w:p w14:paraId="11E23A0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ascii="Arial" w:hAnsi="Arial" w:cs="Arial"/>
          <w:lang w:val="en-US" w:eastAsia="zh-CN"/>
        </w:rPr>
      </w:pPr>
      <w:r>
        <w:rPr>
          <w:rFonts w:hint="eastAsia" w:ascii="Arial" w:hAnsi="Arial" w:cs="Arial"/>
          <w:lang w:val="en-US" w:eastAsia="zh-CN"/>
        </w:rPr>
        <w:t>2.2.2. Antenna modelling</w:t>
      </w:r>
    </w:p>
    <w:p w14:paraId="6D71DE2E">
      <w:pPr>
        <w:rPr>
          <w:szCs w:val="24"/>
        </w:rPr>
      </w:pPr>
      <w:r>
        <w:t>For non-AAS antenna, t</w:t>
      </w:r>
      <w:r>
        <w:rPr>
          <w:szCs w:val="24"/>
        </w:rPr>
        <w:t>he parameters in</w:t>
      </w:r>
      <w:r>
        <w:rPr>
          <w:rFonts w:hint="eastAsia"/>
          <w:szCs w:val="24"/>
          <w:lang w:val="en-US" w:eastAsia="zh-CN"/>
        </w:rPr>
        <w:t xml:space="preserve"> Table 2.2.2-1</w:t>
      </w:r>
      <w:r>
        <w:rPr>
          <w:szCs w:val="24"/>
        </w:rPr>
        <w:t xml:space="preserve"> are used for </w:t>
      </w:r>
      <w:r>
        <w:rPr>
          <w:rFonts w:hint="eastAsia"/>
          <w:szCs w:val="24"/>
          <w:lang w:val="en-US" w:eastAsia="zh-CN"/>
        </w:rPr>
        <w:t>900MHz TN</w:t>
      </w:r>
      <w:r>
        <w:rPr>
          <w:szCs w:val="24"/>
        </w:rPr>
        <w:t xml:space="preserve"> BS antenna pattern </w:t>
      </w:r>
    </w:p>
    <w:p w14:paraId="446582AC">
      <w:pPr>
        <w:pStyle w:val="48"/>
        <w:rPr>
          <w:rFonts w:hint="default" w:eastAsia="宋体"/>
          <w:lang w:val="en-US" w:eastAsia="zh-CN"/>
        </w:rPr>
      </w:pPr>
      <w:r>
        <w:t xml:space="preserve">Table </w:t>
      </w:r>
      <w:r>
        <w:rPr>
          <w:rFonts w:hint="eastAsia"/>
          <w:lang w:val="en-US" w:eastAsia="zh-CN"/>
        </w:rPr>
        <w:t>2.2.2-1</w:t>
      </w:r>
      <w:r>
        <w:t>: FR1 BS Non-AAS antenna pattern for</w:t>
      </w:r>
      <w:r>
        <w:rPr>
          <w:rFonts w:hint="eastAsia"/>
          <w:lang w:val="en-US" w:eastAsia="zh-CN"/>
        </w:rPr>
        <w:t xml:space="preserve"> 900MHz</w:t>
      </w:r>
    </w:p>
    <w:tbl>
      <w:tblPr>
        <w:tblStyle w:val="26"/>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3747"/>
        <w:gridCol w:w="2180"/>
      </w:tblGrid>
      <w:tr w14:paraId="7B09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auto"/>
            <w:vAlign w:val="center"/>
          </w:tcPr>
          <w:p w14:paraId="0552D2FC">
            <w:pPr>
              <w:pStyle w:val="38"/>
              <w:suppressLineNumbers w:val="0"/>
              <w:spacing w:before="0" w:beforeAutospacing="0" w:afterAutospacing="0"/>
              <w:ind w:left="0" w:right="0"/>
              <w:rPr>
                <w:rFonts w:hint="default"/>
                <w:lang w:val="zh-CN"/>
              </w:rPr>
            </w:pPr>
            <w:r>
              <w:rPr>
                <w:rFonts w:hint="default"/>
              </w:rPr>
              <w:t xml:space="preserve"> </w:t>
            </w:r>
            <w:r>
              <w:rPr>
                <w:rFonts w:hint="default"/>
                <w:lang w:val="zh-CN"/>
              </w:rPr>
              <w:t>Parameter for BS</w:t>
            </w:r>
          </w:p>
        </w:tc>
        <w:tc>
          <w:tcPr>
            <w:tcW w:w="5927" w:type="dxa"/>
            <w:gridSpan w:val="2"/>
            <w:shd w:val="clear" w:color="auto" w:fill="auto"/>
            <w:vAlign w:val="center"/>
          </w:tcPr>
          <w:p w14:paraId="5574C07F">
            <w:pPr>
              <w:pStyle w:val="38"/>
              <w:suppressLineNumbers w:val="0"/>
              <w:spacing w:before="0" w:beforeAutospacing="0" w:afterAutospacing="0"/>
              <w:ind w:left="0" w:right="0"/>
              <w:rPr>
                <w:rFonts w:hint="default"/>
                <w:lang w:val="zh-CN"/>
              </w:rPr>
            </w:pPr>
            <w:r>
              <w:rPr>
                <w:rFonts w:hint="default"/>
                <w:lang w:val="zh-CN"/>
              </w:rPr>
              <w:t>Values</w:t>
            </w:r>
          </w:p>
        </w:tc>
      </w:tr>
      <w:tr w14:paraId="63AF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14:paraId="3E8EA35A">
            <w:pPr>
              <w:pStyle w:val="40"/>
              <w:suppressLineNumbers w:val="0"/>
              <w:spacing w:before="0" w:beforeAutospacing="0" w:afterAutospacing="0"/>
              <w:ind w:left="0" w:right="0"/>
              <w:rPr>
                <w:rFonts w:hint="default"/>
              </w:rPr>
            </w:pPr>
            <w:r>
              <w:rPr>
                <w:rFonts w:hint="default"/>
              </w:rPr>
              <w:t>Antenna vertical radiation pattern (dB)</w:t>
            </w:r>
          </w:p>
        </w:tc>
        <w:tc>
          <w:tcPr>
            <w:tcW w:w="5927" w:type="dxa"/>
            <w:gridSpan w:val="2"/>
            <w:vAlign w:val="center"/>
          </w:tcPr>
          <w:p w14:paraId="011D7F74">
            <w:pPr>
              <w:pStyle w:val="39"/>
              <w:suppressLineNumbers w:val="0"/>
              <w:spacing w:before="0" w:beforeAutospacing="0" w:afterAutospacing="0"/>
              <w:ind w:left="0" w:right="0"/>
              <w:rPr>
                <w:rFonts w:hint="default"/>
                <w:lang w:val="de-DE"/>
              </w:rPr>
            </w:pPr>
            <m:oMathPara>
              <m:oMath>
                <m:sSub>
                  <m:sSubPr>
                    <m:ctrlPr>
                      <w:rPr>
                        <w:rFonts w:hint="default" w:ascii="Cambria Math" w:hAnsi="Cambria Math"/>
                        <w:lang w:val="zh-CN"/>
                      </w:rPr>
                    </m:ctrlPr>
                  </m:sSubPr>
                  <m:e>
                    <m:r>
                      <m:rPr/>
                      <w:rPr>
                        <w:rFonts w:hint="default" w:ascii="Cambria Math" w:hAnsi="Cambria Math"/>
                        <w:lang w:val="zh-CN"/>
                      </w:rPr>
                      <m:t>A</m:t>
                    </m:r>
                    <m:ctrlPr>
                      <w:rPr>
                        <w:rFonts w:hint="default" w:ascii="Cambria Math" w:hAnsi="Cambria Math"/>
                        <w:lang w:val="zh-CN"/>
                      </w:rPr>
                    </m:ctrlPr>
                  </m:e>
                  <m:sub>
                    <m:r>
                      <m:rPr/>
                      <w:rPr>
                        <w:rFonts w:hint="default" w:ascii="Cambria Math" w:hAnsi="Cambria Math"/>
                        <w:lang w:val="zh-CN"/>
                      </w:rPr>
                      <m:t>E</m:t>
                    </m:r>
                    <m:r>
                      <m:rPr>
                        <m:sty m:val="p"/>
                      </m:rPr>
                      <w:rPr>
                        <w:rFonts w:hint="default" w:ascii="Cambria Math" w:hAnsi="Cambria Math"/>
                        <w:lang w:val="de-DE"/>
                      </w:rPr>
                      <m:t>,</m:t>
                    </m:r>
                    <m:r>
                      <m:rPr/>
                      <w:rPr>
                        <w:rFonts w:hint="default" w:ascii="Cambria Math" w:hAnsi="Cambria Math"/>
                        <w:lang w:val="zh-CN"/>
                      </w:rPr>
                      <m:t>V</m:t>
                    </m:r>
                    <m:ctrlPr>
                      <w:rPr>
                        <w:rFonts w:hint="default" w:ascii="Cambria Math" w:hAnsi="Cambria Math"/>
                        <w:lang w:val="zh-CN"/>
                      </w:rPr>
                    </m:ctrlPr>
                  </m:sub>
                </m:sSub>
                <m:r>
                  <m:rPr>
                    <m:sty m:val="p"/>
                  </m:rPr>
                  <w:rPr>
                    <w:rFonts w:hint="default" w:ascii="Cambria Math" w:hAnsi="Cambria Math"/>
                    <w:lang w:val="de-DE"/>
                  </w:rPr>
                  <m:t>(</m:t>
                </m:r>
                <m:sSup>
                  <m:sSupPr>
                    <m:ctrlPr>
                      <w:rPr>
                        <w:rFonts w:hint="default" w:ascii="Cambria Math" w:hAnsi="Cambria Math"/>
                        <w:lang w:val="zh-CN"/>
                      </w:rPr>
                    </m:ctrlPr>
                  </m:sSupPr>
                  <m:e>
                    <m:r>
                      <m:rPr/>
                      <w:rPr>
                        <w:rFonts w:hint="default" w:ascii="Cambria Math" w:hAnsi="Cambria Math"/>
                        <w:lang w:val="zh-CN"/>
                      </w:rPr>
                      <m:t>θ</m:t>
                    </m:r>
                    <m:ctrlPr>
                      <w:rPr>
                        <w:rFonts w:hint="default" w:ascii="Cambria Math" w:hAnsi="Cambria Math"/>
                        <w:lang w:val="zh-CN"/>
                      </w:rPr>
                    </m:ctrlPr>
                  </m:e>
                  <m:sup>
                    <m:r>
                      <m:rPr>
                        <m:sty m:val="p"/>
                      </m:rPr>
                      <w:rPr>
                        <w:rFonts w:hint="eastAsia" w:ascii="Cambria Math" w:hAnsi="Cambria Math"/>
                        <w:lang w:val="de-DE"/>
                      </w:rPr>
                      <m:t>″</m:t>
                    </m:r>
                    <m:ctrlPr>
                      <w:rPr>
                        <w:rFonts w:hint="default" w:ascii="Cambria Math" w:hAnsi="Cambria Math"/>
                        <w:lang w:val="zh-CN"/>
                      </w:rPr>
                    </m:ctrlPr>
                  </m:sup>
                </m:sSup>
                <m:r>
                  <m:rPr>
                    <m:sty m:val="p"/>
                  </m:rPr>
                  <w:rPr>
                    <w:rFonts w:hint="default" w:ascii="Cambria Math" w:hAnsi="Cambria Math"/>
                    <w:lang w:val="de-DE"/>
                  </w:rPr>
                  <m:t>)=−</m:t>
                </m:r>
                <m:func>
                  <m:funcPr>
                    <m:ctrlPr>
                      <w:rPr>
                        <w:rFonts w:hint="default" w:ascii="Cambria Math" w:hAnsi="Cambria Math"/>
                        <w:lang w:val="zh-CN"/>
                      </w:rPr>
                    </m:ctrlPr>
                  </m:funcPr>
                  <m:fName>
                    <m:r>
                      <m:rPr/>
                      <w:rPr>
                        <w:rFonts w:hint="default" w:ascii="Cambria Math" w:hAnsi="Cambria Math"/>
                        <w:lang w:val="zh-CN"/>
                      </w:rPr>
                      <m:t>min</m:t>
                    </m:r>
                    <m:ctrlPr>
                      <w:rPr>
                        <w:rFonts w:hint="default" w:ascii="Cambria Math" w:hAnsi="Cambria Math"/>
                        <w:lang w:val="zh-CN"/>
                      </w:rPr>
                    </m:ctrlPr>
                  </m:fName>
                  <m:e>
                    <m:d>
                      <m:dPr>
                        <m:begChr m:val="{"/>
                        <m:endChr m:val="}"/>
                        <m:ctrlPr>
                          <w:rPr>
                            <w:rFonts w:hint="default" w:ascii="Cambria Math" w:hAnsi="Cambria Math"/>
                            <w:lang w:val="zh-CN"/>
                          </w:rPr>
                        </m:ctrlPr>
                      </m:dPr>
                      <m:e>
                        <m:r>
                          <m:rPr>
                            <m:sty m:val="p"/>
                          </m:rPr>
                          <w:rPr>
                            <w:rFonts w:hint="default" w:ascii="Cambria Math" w:hAnsi="Cambria Math"/>
                            <w:lang w:val="de-DE"/>
                          </w:rPr>
                          <m:t>12</m:t>
                        </m:r>
                        <m:sSup>
                          <m:sSupPr>
                            <m:ctrlPr>
                              <w:rPr>
                                <w:rFonts w:hint="default" w:ascii="Cambria Math" w:hAnsi="Cambria Math"/>
                                <w:lang w:val="zh-CN"/>
                              </w:rPr>
                            </m:ctrlPr>
                          </m:sSupPr>
                          <m:e>
                            <m:d>
                              <m:dPr>
                                <m:ctrlPr>
                                  <w:rPr>
                                    <w:rFonts w:hint="default" w:ascii="Cambria Math" w:hAnsi="Cambria Math"/>
                                    <w:lang w:val="zh-CN"/>
                                  </w:rPr>
                                </m:ctrlPr>
                              </m:dPr>
                              <m:e>
                                <m:f>
                                  <m:fPr>
                                    <m:ctrlPr>
                                      <w:rPr>
                                        <w:rFonts w:hint="default" w:ascii="Cambria Math" w:hAnsi="Cambria Math"/>
                                        <w:lang w:val="zh-CN"/>
                                      </w:rPr>
                                    </m:ctrlPr>
                                  </m:fPr>
                                  <m:num>
                                    <m:sSup>
                                      <m:sSupPr>
                                        <m:ctrlPr>
                                          <w:rPr>
                                            <w:rFonts w:hint="default" w:ascii="Cambria Math" w:hAnsi="Cambria Math"/>
                                            <w:lang w:val="zh-CN"/>
                                          </w:rPr>
                                        </m:ctrlPr>
                                      </m:sSupPr>
                                      <m:e>
                                        <m:r>
                                          <m:rPr/>
                                          <w:rPr>
                                            <w:rFonts w:hint="default" w:ascii="Cambria Math" w:hAnsi="Cambria Math"/>
                                            <w:lang w:val="zh-CN"/>
                                          </w:rPr>
                                          <m:t>θ</m:t>
                                        </m:r>
                                        <m:ctrlPr>
                                          <w:rPr>
                                            <w:rFonts w:hint="default" w:ascii="Cambria Math" w:hAnsi="Cambria Math"/>
                                            <w:lang w:val="zh-CN"/>
                                          </w:rPr>
                                        </m:ctrlPr>
                                      </m:e>
                                      <m:sup>
                                        <m:r>
                                          <m:rPr>
                                            <m:sty m:val="p"/>
                                          </m:rPr>
                                          <w:rPr>
                                            <w:rFonts w:hint="eastAsia" w:ascii="Cambria Math" w:hAnsi="Cambria Math"/>
                                            <w:lang w:val="de-DE"/>
                                          </w:rPr>
                                          <m:t>″</m:t>
                                        </m:r>
                                        <m:ctrlPr>
                                          <w:rPr>
                                            <w:rFonts w:hint="default" w:ascii="Cambria Math" w:hAnsi="Cambria Math"/>
                                            <w:lang w:val="zh-CN"/>
                                          </w:rPr>
                                        </m:ctrlPr>
                                      </m:sup>
                                    </m:sSup>
                                    <m:r>
                                      <m:rPr>
                                        <m:sty m:val="p"/>
                                      </m:rPr>
                                      <w:rPr>
                                        <w:rFonts w:hint="default" w:ascii="Cambria Math" w:hAnsi="Cambria Math"/>
                                        <w:lang w:val="de-DE"/>
                                      </w:rPr>
                                      <m:t>−90°</m:t>
                                    </m:r>
                                    <m:ctrlPr>
                                      <w:rPr>
                                        <w:rFonts w:hint="default" w:ascii="Cambria Math" w:hAnsi="Cambria Math"/>
                                        <w:lang w:val="zh-CN"/>
                                      </w:rPr>
                                    </m:ctrlPr>
                                  </m:num>
                                  <m:den>
                                    <m:sSub>
                                      <m:sSubPr>
                                        <m:ctrlPr>
                                          <w:rPr>
                                            <w:rFonts w:hint="default" w:ascii="Cambria Math" w:hAnsi="Cambria Math"/>
                                            <w:lang w:val="zh-CN"/>
                                          </w:rPr>
                                        </m:ctrlPr>
                                      </m:sSubPr>
                                      <m:e>
                                        <m:r>
                                          <m:rPr/>
                                          <w:rPr>
                                            <w:rFonts w:hint="default" w:ascii="Cambria Math" w:hAnsi="Cambria Math"/>
                                            <w:lang w:val="zh-CN"/>
                                          </w:rPr>
                                          <m:t>θ</m:t>
                                        </m:r>
                                        <m:ctrlPr>
                                          <w:rPr>
                                            <w:rFonts w:hint="default" w:ascii="Cambria Math" w:hAnsi="Cambria Math"/>
                                            <w:lang w:val="zh-CN"/>
                                          </w:rPr>
                                        </m:ctrlPr>
                                      </m:e>
                                      <m:sub>
                                        <m:r>
                                          <m:rPr>
                                            <m:nor/>
                                            <m:sty m:val="p"/>
                                          </m:rPr>
                                          <w:rPr>
                                            <w:rFonts w:hint="default"/>
                                            <w:b w:val="0"/>
                                            <w:i w:val="0"/>
                                            <w:lang w:val="de-DE"/>
                                          </w:rPr>
                                          <m:t>3dB</m:t>
                                        </m:r>
                                        <m:ctrlPr>
                                          <w:rPr>
                                            <w:rFonts w:hint="default" w:ascii="Cambria Math" w:hAnsi="Cambria Math"/>
                                            <w:lang w:val="zh-CN"/>
                                          </w:rPr>
                                        </m:ctrlPr>
                                      </m:sub>
                                    </m:sSub>
                                    <m:ctrlPr>
                                      <w:rPr>
                                        <w:rFonts w:hint="default" w:ascii="Cambria Math" w:hAnsi="Cambria Math"/>
                                        <w:lang w:val="zh-CN"/>
                                      </w:rPr>
                                    </m:ctrlPr>
                                  </m:den>
                                </m:f>
                                <m:ctrlPr>
                                  <w:rPr>
                                    <w:rFonts w:hint="default" w:ascii="Cambria Math" w:hAnsi="Cambria Math"/>
                                    <w:lang w:val="zh-CN"/>
                                  </w:rPr>
                                </m:ctrlPr>
                              </m:e>
                            </m:d>
                            <m:ctrlPr>
                              <w:rPr>
                                <w:rFonts w:hint="default" w:ascii="Cambria Math" w:hAnsi="Cambria Math"/>
                                <w:lang w:val="zh-CN"/>
                              </w:rPr>
                            </m:ctrlPr>
                          </m:e>
                          <m:sup>
                            <m:r>
                              <m:rPr>
                                <m:sty m:val="p"/>
                              </m:rPr>
                              <w:rPr>
                                <w:rFonts w:hint="default" w:ascii="Cambria Math" w:hAnsi="Cambria Math"/>
                                <w:lang w:val="de-DE"/>
                              </w:rPr>
                              <m:t>2</m:t>
                            </m:r>
                            <m:ctrlPr>
                              <w:rPr>
                                <w:rFonts w:hint="default" w:ascii="Cambria Math" w:hAnsi="Cambria Math"/>
                                <w:lang w:val="zh-CN"/>
                              </w:rPr>
                            </m:ctrlPr>
                          </m:sup>
                        </m:sSup>
                        <m:r>
                          <m:rPr>
                            <m:sty m:val="p"/>
                          </m:rPr>
                          <w:rPr>
                            <w:rFonts w:hint="default" w:ascii="Cambria Math" w:hAnsi="Cambria Math"/>
                            <w:lang w:val="de-DE"/>
                          </w:rPr>
                          <m:t>,</m:t>
                        </m:r>
                        <m:r>
                          <m:rPr/>
                          <w:rPr>
                            <w:rFonts w:hint="default" w:ascii="Cambria Math" w:hAnsi="Cambria Math"/>
                            <w:lang w:val="zh-CN"/>
                          </w:rPr>
                          <m:t>SL</m:t>
                        </m:r>
                        <m:sSub>
                          <m:sSubPr>
                            <m:ctrlPr>
                              <w:rPr>
                                <w:rFonts w:hint="default" w:ascii="Cambria Math" w:hAnsi="Cambria Math"/>
                                <w:lang w:val="zh-CN"/>
                              </w:rPr>
                            </m:ctrlPr>
                          </m:sSubPr>
                          <m:e>
                            <m:r>
                              <m:rPr/>
                              <w:rPr>
                                <w:rFonts w:hint="default" w:ascii="Cambria Math" w:hAnsi="Cambria Math"/>
                                <w:lang w:val="zh-CN"/>
                              </w:rPr>
                              <m:t>A</m:t>
                            </m:r>
                            <m:ctrlPr>
                              <w:rPr>
                                <w:rFonts w:hint="default" w:ascii="Cambria Math" w:hAnsi="Cambria Math"/>
                                <w:lang w:val="zh-CN"/>
                              </w:rPr>
                            </m:ctrlPr>
                          </m:e>
                          <m:sub>
                            <m:r>
                              <m:rPr/>
                              <w:rPr>
                                <w:rFonts w:hint="default" w:ascii="Cambria Math" w:hAnsi="Cambria Math"/>
                                <w:lang w:val="zh-CN"/>
                              </w:rPr>
                              <m:t>V</m:t>
                            </m:r>
                            <m:ctrlPr>
                              <w:rPr>
                                <w:rFonts w:hint="default" w:ascii="Cambria Math" w:hAnsi="Cambria Math"/>
                                <w:lang w:val="zh-CN"/>
                              </w:rPr>
                            </m:ctrlPr>
                          </m:sub>
                        </m:sSub>
                        <m:ctrlPr>
                          <w:rPr>
                            <w:rFonts w:hint="default" w:ascii="Cambria Math" w:hAnsi="Cambria Math"/>
                            <w:lang w:val="zh-CN"/>
                          </w:rPr>
                        </m:ctrlPr>
                      </m:e>
                    </m:d>
                    <m:ctrlPr>
                      <w:rPr>
                        <w:rFonts w:hint="default" w:ascii="Cambria Math" w:hAnsi="Cambria Math"/>
                        <w:lang w:val="zh-CN"/>
                      </w:rPr>
                    </m:ctrlPr>
                  </m:e>
                </m:func>
                <m:r>
                  <m:rPr>
                    <m:sty m:val="p"/>
                  </m:rPr>
                  <w:rPr>
                    <w:rFonts w:hint="default" w:ascii="Cambria Math" w:hAnsi="Cambria Math"/>
                    <w:lang w:val="de-DE"/>
                  </w:rPr>
                  <m:t>,</m:t>
                </m:r>
                <m:sSub>
                  <m:sSubPr>
                    <m:ctrlPr>
                      <w:rPr>
                        <w:rFonts w:hint="default" w:ascii="Cambria Math" w:hAnsi="Cambria Math"/>
                        <w:lang w:val="zh-CN"/>
                      </w:rPr>
                    </m:ctrlPr>
                  </m:sSubPr>
                  <m:e>
                    <m:r>
                      <m:rPr/>
                      <w:rPr>
                        <w:rFonts w:hint="default" w:ascii="Cambria Math" w:hAnsi="Cambria Math"/>
                        <w:lang w:val="zh-CN"/>
                      </w:rPr>
                      <m:t>θ</m:t>
                    </m:r>
                    <m:ctrlPr>
                      <w:rPr>
                        <w:rFonts w:hint="default" w:ascii="Cambria Math" w:hAnsi="Cambria Math"/>
                        <w:lang w:val="zh-CN"/>
                      </w:rPr>
                    </m:ctrlPr>
                  </m:e>
                  <m:sub>
                    <m:r>
                      <m:rPr>
                        <m:nor/>
                        <m:sty m:val="p"/>
                      </m:rPr>
                      <w:rPr>
                        <w:rFonts w:hint="default"/>
                        <w:b w:val="0"/>
                        <w:i w:val="0"/>
                        <w:lang w:val="de-DE"/>
                      </w:rPr>
                      <m:t>3dB</m:t>
                    </m:r>
                    <m:ctrlPr>
                      <w:rPr>
                        <w:rFonts w:hint="default" w:ascii="Cambria Math" w:hAnsi="Cambria Math"/>
                        <w:lang w:val="zh-CN"/>
                      </w:rPr>
                    </m:ctrlPr>
                  </m:sub>
                </m:sSub>
                <m:r>
                  <m:rPr>
                    <m:sty m:val="p"/>
                  </m:rPr>
                  <w:rPr>
                    <w:rFonts w:hint="default" w:ascii="Cambria Math" w:hAnsi="Cambria Math"/>
                    <w:lang w:val="de-DE"/>
                  </w:rPr>
                  <m:t>=10°,</m:t>
                </m:r>
                <m:r>
                  <m:rPr/>
                  <w:rPr>
                    <w:rFonts w:hint="default" w:ascii="Cambria Math" w:hAnsi="Cambria Math"/>
                    <w:lang w:val="zh-CN"/>
                  </w:rPr>
                  <m:t>SL</m:t>
                </m:r>
                <m:sSub>
                  <m:sSubPr>
                    <m:ctrlPr>
                      <w:rPr>
                        <w:rFonts w:hint="default" w:ascii="Cambria Math" w:hAnsi="Cambria Math"/>
                        <w:lang w:val="zh-CN"/>
                      </w:rPr>
                    </m:ctrlPr>
                  </m:sSubPr>
                  <m:e>
                    <m:r>
                      <m:rPr/>
                      <w:rPr>
                        <w:rFonts w:hint="default" w:ascii="Cambria Math" w:hAnsi="Cambria Math"/>
                        <w:lang w:val="zh-CN"/>
                      </w:rPr>
                      <m:t>A</m:t>
                    </m:r>
                    <m:ctrlPr>
                      <w:rPr>
                        <w:rFonts w:hint="default" w:ascii="Cambria Math" w:hAnsi="Cambria Math"/>
                        <w:lang w:val="zh-CN"/>
                      </w:rPr>
                    </m:ctrlPr>
                  </m:e>
                  <m:sub>
                    <m:r>
                      <m:rPr/>
                      <w:rPr>
                        <w:rFonts w:hint="default" w:ascii="Cambria Math" w:hAnsi="Cambria Math"/>
                        <w:lang w:val="zh-CN"/>
                      </w:rPr>
                      <m:t>V</m:t>
                    </m:r>
                    <m:ctrlPr>
                      <w:rPr>
                        <w:rFonts w:hint="default" w:ascii="Cambria Math" w:hAnsi="Cambria Math"/>
                        <w:lang w:val="zh-CN"/>
                      </w:rPr>
                    </m:ctrlPr>
                  </m:sub>
                </m:sSub>
                <m:r>
                  <m:rPr>
                    <m:sty m:val="p"/>
                  </m:rPr>
                  <w:rPr>
                    <w:rFonts w:hint="default" w:ascii="Cambria Math" w:hAnsi="Cambria Math"/>
                    <w:lang w:val="de-DE"/>
                  </w:rPr>
                  <m:t>=20</m:t>
                </m:r>
                <m:r>
                  <m:rPr>
                    <m:nor/>
                    <m:sty m:val="p"/>
                  </m:rPr>
                  <w:rPr>
                    <w:rFonts w:hint="default"/>
                    <w:b w:val="0"/>
                    <w:i w:val="0"/>
                    <w:lang w:val="de-DE"/>
                  </w:rPr>
                  <m:t>dB</m:t>
                </m:r>
              </m:oMath>
            </m:oMathPara>
          </w:p>
        </w:tc>
      </w:tr>
      <w:tr w14:paraId="52C2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auto"/>
            <w:vAlign w:val="center"/>
          </w:tcPr>
          <w:p w14:paraId="52080EFF">
            <w:pPr>
              <w:pStyle w:val="40"/>
              <w:suppressLineNumbers w:val="0"/>
              <w:spacing w:before="0" w:beforeAutospacing="0" w:afterAutospacing="0"/>
              <w:ind w:left="0" w:right="0"/>
              <w:rPr>
                <w:rFonts w:hint="default"/>
              </w:rPr>
            </w:pPr>
            <w:r>
              <w:rPr>
                <w:rFonts w:hint="default"/>
              </w:rPr>
              <w:t>Antenna horizontal radiation pattern (dB)</w:t>
            </w:r>
          </w:p>
        </w:tc>
        <w:tc>
          <w:tcPr>
            <w:tcW w:w="5927" w:type="dxa"/>
            <w:gridSpan w:val="2"/>
            <w:vAlign w:val="center"/>
          </w:tcPr>
          <w:p w14:paraId="1A342C9F">
            <w:pPr>
              <w:pStyle w:val="39"/>
              <w:suppressLineNumbers w:val="0"/>
              <w:spacing w:before="0" w:beforeAutospacing="0" w:afterAutospacing="0"/>
              <w:ind w:left="0" w:right="0"/>
              <w:rPr>
                <w:rFonts w:hint="default"/>
                <w:lang w:val="de-DE"/>
              </w:rPr>
            </w:pPr>
            <m:oMathPara>
              <m:oMath>
                <m:sSub>
                  <m:sSubPr>
                    <m:ctrlPr>
                      <w:rPr>
                        <w:rFonts w:hint="default" w:ascii="Cambria Math" w:hAnsi="Cambria Math"/>
                        <w:lang w:val="zh-CN"/>
                      </w:rPr>
                    </m:ctrlPr>
                  </m:sSubPr>
                  <m:e>
                    <m:r>
                      <m:rPr/>
                      <w:rPr>
                        <w:rFonts w:hint="default" w:ascii="Cambria Math" w:hAnsi="Cambria Math"/>
                        <w:lang w:val="zh-CN"/>
                      </w:rPr>
                      <m:t>A</m:t>
                    </m:r>
                    <m:ctrlPr>
                      <w:rPr>
                        <w:rFonts w:hint="default" w:ascii="Cambria Math" w:hAnsi="Cambria Math"/>
                        <w:lang w:val="zh-CN"/>
                      </w:rPr>
                    </m:ctrlPr>
                  </m:e>
                  <m:sub>
                    <m:r>
                      <m:rPr/>
                      <w:rPr>
                        <w:rFonts w:hint="default" w:ascii="Cambria Math" w:hAnsi="Cambria Math"/>
                        <w:lang w:val="zh-CN"/>
                      </w:rPr>
                      <m:t>E</m:t>
                    </m:r>
                    <m:r>
                      <m:rPr>
                        <m:sty m:val="p"/>
                      </m:rPr>
                      <w:rPr>
                        <w:rFonts w:hint="default" w:ascii="Cambria Math" w:hAnsi="Cambria Math"/>
                        <w:lang w:val="de-DE"/>
                      </w:rPr>
                      <m:t>,</m:t>
                    </m:r>
                    <m:r>
                      <m:rPr/>
                      <w:rPr>
                        <w:rFonts w:hint="default" w:ascii="Cambria Math" w:hAnsi="Cambria Math"/>
                        <w:lang w:val="zh-CN"/>
                      </w:rPr>
                      <m:t>H</m:t>
                    </m:r>
                    <m:ctrlPr>
                      <w:rPr>
                        <w:rFonts w:hint="default" w:ascii="Cambria Math" w:hAnsi="Cambria Math"/>
                        <w:lang w:val="zh-CN"/>
                      </w:rPr>
                    </m:ctrlPr>
                  </m:sub>
                </m:sSub>
                <m:r>
                  <m:rPr>
                    <m:sty m:val="p"/>
                  </m:rPr>
                  <w:rPr>
                    <w:rFonts w:hint="default" w:ascii="Cambria Math" w:hAnsi="Cambria Math"/>
                    <w:lang w:val="de-DE"/>
                  </w:rPr>
                  <m:t>(</m:t>
                </m:r>
                <m:sSup>
                  <m:sSupPr>
                    <m:ctrlPr>
                      <w:rPr>
                        <w:rFonts w:hint="default" w:ascii="Cambria Math" w:hAnsi="Cambria Math"/>
                        <w:lang w:val="zh-CN"/>
                      </w:rPr>
                    </m:ctrlPr>
                  </m:sSupPr>
                  <m:e>
                    <m:r>
                      <m:rPr/>
                      <w:rPr>
                        <w:rFonts w:hint="default" w:ascii="Cambria Math" w:hAnsi="Cambria Math"/>
                        <w:lang w:val="zh-CN"/>
                      </w:rPr>
                      <m:t>ϕ</m:t>
                    </m:r>
                    <m:ctrlPr>
                      <w:rPr>
                        <w:rFonts w:hint="default" w:ascii="Cambria Math" w:hAnsi="Cambria Math"/>
                        <w:lang w:val="zh-CN"/>
                      </w:rPr>
                    </m:ctrlPr>
                  </m:e>
                  <m:sup>
                    <m:r>
                      <m:rPr>
                        <m:sty m:val="p"/>
                      </m:rPr>
                      <w:rPr>
                        <w:rFonts w:hint="eastAsia" w:ascii="Cambria Math" w:hAnsi="Cambria Math"/>
                        <w:lang w:val="de-DE"/>
                      </w:rPr>
                      <m:t>″</m:t>
                    </m:r>
                    <m:ctrlPr>
                      <w:rPr>
                        <w:rFonts w:hint="default" w:ascii="Cambria Math" w:hAnsi="Cambria Math"/>
                        <w:lang w:val="zh-CN"/>
                      </w:rPr>
                    </m:ctrlPr>
                  </m:sup>
                </m:sSup>
                <m:r>
                  <m:rPr>
                    <m:sty m:val="p"/>
                  </m:rPr>
                  <w:rPr>
                    <w:rFonts w:hint="default" w:ascii="Cambria Math" w:hAnsi="Cambria Math"/>
                    <w:lang w:val="de-DE"/>
                  </w:rPr>
                  <m:t>)=−</m:t>
                </m:r>
                <m:func>
                  <m:funcPr>
                    <m:ctrlPr>
                      <w:rPr>
                        <w:rFonts w:hint="default" w:ascii="Cambria Math" w:hAnsi="Cambria Math"/>
                        <w:lang w:val="zh-CN"/>
                      </w:rPr>
                    </m:ctrlPr>
                  </m:funcPr>
                  <m:fName>
                    <m:r>
                      <m:rPr/>
                      <w:rPr>
                        <w:rFonts w:hint="default" w:ascii="Cambria Math" w:hAnsi="Cambria Math"/>
                        <w:lang w:val="zh-CN"/>
                      </w:rPr>
                      <m:t>min</m:t>
                    </m:r>
                    <m:ctrlPr>
                      <w:rPr>
                        <w:rFonts w:hint="default" w:ascii="Cambria Math" w:hAnsi="Cambria Math"/>
                        <w:lang w:val="zh-CN"/>
                      </w:rPr>
                    </m:ctrlPr>
                  </m:fName>
                  <m:e>
                    <m:d>
                      <m:dPr>
                        <m:begChr m:val="{"/>
                        <m:endChr m:val="}"/>
                        <m:ctrlPr>
                          <w:rPr>
                            <w:rFonts w:hint="default" w:ascii="Cambria Math" w:hAnsi="Cambria Math"/>
                            <w:lang w:val="zh-CN"/>
                          </w:rPr>
                        </m:ctrlPr>
                      </m:dPr>
                      <m:e>
                        <m:r>
                          <m:rPr>
                            <m:sty m:val="p"/>
                          </m:rPr>
                          <w:rPr>
                            <w:rFonts w:hint="default" w:ascii="Cambria Math" w:hAnsi="Cambria Math"/>
                            <w:lang w:val="de-DE"/>
                          </w:rPr>
                          <m:t>12</m:t>
                        </m:r>
                        <m:sSup>
                          <m:sSupPr>
                            <m:ctrlPr>
                              <w:rPr>
                                <w:rFonts w:hint="default" w:ascii="Cambria Math" w:hAnsi="Cambria Math"/>
                                <w:lang w:val="zh-CN"/>
                              </w:rPr>
                            </m:ctrlPr>
                          </m:sSupPr>
                          <m:e>
                            <m:d>
                              <m:dPr>
                                <m:ctrlPr>
                                  <w:rPr>
                                    <w:rFonts w:hint="default" w:ascii="Cambria Math" w:hAnsi="Cambria Math"/>
                                    <w:lang w:val="zh-CN"/>
                                  </w:rPr>
                                </m:ctrlPr>
                              </m:dPr>
                              <m:e>
                                <m:f>
                                  <m:fPr>
                                    <m:ctrlPr>
                                      <w:rPr>
                                        <w:rFonts w:hint="default" w:ascii="Cambria Math" w:hAnsi="Cambria Math"/>
                                        <w:lang w:val="zh-CN"/>
                                      </w:rPr>
                                    </m:ctrlPr>
                                  </m:fPr>
                                  <m:num>
                                    <m:sSup>
                                      <m:sSupPr>
                                        <m:ctrlPr>
                                          <w:rPr>
                                            <w:rFonts w:hint="default" w:ascii="Cambria Math" w:hAnsi="Cambria Math"/>
                                            <w:lang w:val="zh-CN"/>
                                          </w:rPr>
                                        </m:ctrlPr>
                                      </m:sSupPr>
                                      <m:e>
                                        <m:r>
                                          <m:rPr/>
                                          <w:rPr>
                                            <w:rFonts w:hint="default" w:ascii="Cambria Math" w:hAnsi="Cambria Math"/>
                                            <w:lang w:val="zh-CN"/>
                                          </w:rPr>
                                          <m:t>ϕ</m:t>
                                        </m:r>
                                        <m:ctrlPr>
                                          <w:rPr>
                                            <w:rFonts w:hint="default" w:ascii="Cambria Math" w:hAnsi="Cambria Math"/>
                                            <w:lang w:val="zh-CN"/>
                                          </w:rPr>
                                        </m:ctrlPr>
                                      </m:e>
                                      <m:sup>
                                        <m:r>
                                          <m:rPr>
                                            <m:sty m:val="p"/>
                                          </m:rPr>
                                          <w:rPr>
                                            <w:rFonts w:hint="eastAsia" w:ascii="Cambria Math" w:hAnsi="Cambria Math"/>
                                            <w:lang w:val="de-DE"/>
                                          </w:rPr>
                                          <m:t>″</m:t>
                                        </m:r>
                                        <m:ctrlPr>
                                          <w:rPr>
                                            <w:rFonts w:hint="default" w:ascii="Cambria Math" w:hAnsi="Cambria Math"/>
                                            <w:lang w:val="zh-CN"/>
                                          </w:rPr>
                                        </m:ctrlPr>
                                      </m:sup>
                                    </m:sSup>
                                    <m:ctrlPr>
                                      <w:rPr>
                                        <w:rFonts w:hint="default" w:ascii="Cambria Math" w:hAnsi="Cambria Math"/>
                                        <w:lang w:val="zh-CN"/>
                                      </w:rPr>
                                    </m:ctrlPr>
                                  </m:num>
                                  <m:den>
                                    <m:sSub>
                                      <m:sSubPr>
                                        <m:ctrlPr>
                                          <w:rPr>
                                            <w:rFonts w:hint="default" w:ascii="Cambria Math" w:hAnsi="Cambria Math"/>
                                            <w:lang w:val="zh-CN"/>
                                          </w:rPr>
                                        </m:ctrlPr>
                                      </m:sSubPr>
                                      <m:e>
                                        <m:r>
                                          <m:rPr/>
                                          <w:rPr>
                                            <w:rFonts w:hint="default" w:ascii="Cambria Math" w:hAnsi="Cambria Math"/>
                                            <w:lang w:val="zh-CN"/>
                                          </w:rPr>
                                          <m:t>ϕ</m:t>
                                        </m:r>
                                        <m:ctrlPr>
                                          <w:rPr>
                                            <w:rFonts w:hint="default" w:ascii="Cambria Math" w:hAnsi="Cambria Math"/>
                                            <w:lang w:val="zh-CN"/>
                                          </w:rPr>
                                        </m:ctrlPr>
                                      </m:e>
                                      <m:sub>
                                        <m:r>
                                          <m:rPr>
                                            <m:nor/>
                                            <m:sty m:val="p"/>
                                          </m:rPr>
                                          <w:rPr>
                                            <w:rFonts w:hint="default"/>
                                            <w:b w:val="0"/>
                                            <w:i w:val="0"/>
                                            <w:lang w:val="de-DE"/>
                                          </w:rPr>
                                          <m:t>3dB</m:t>
                                        </m:r>
                                        <m:ctrlPr>
                                          <w:rPr>
                                            <w:rFonts w:hint="default" w:ascii="Cambria Math" w:hAnsi="Cambria Math"/>
                                            <w:lang w:val="zh-CN"/>
                                          </w:rPr>
                                        </m:ctrlPr>
                                      </m:sub>
                                    </m:sSub>
                                    <m:ctrlPr>
                                      <w:rPr>
                                        <w:rFonts w:hint="default" w:ascii="Cambria Math" w:hAnsi="Cambria Math"/>
                                        <w:lang w:val="zh-CN"/>
                                      </w:rPr>
                                    </m:ctrlPr>
                                  </m:den>
                                </m:f>
                                <m:ctrlPr>
                                  <w:rPr>
                                    <w:rFonts w:hint="default" w:ascii="Cambria Math" w:hAnsi="Cambria Math"/>
                                    <w:lang w:val="zh-CN"/>
                                  </w:rPr>
                                </m:ctrlPr>
                              </m:e>
                            </m:d>
                            <m:ctrlPr>
                              <w:rPr>
                                <w:rFonts w:hint="default" w:ascii="Cambria Math" w:hAnsi="Cambria Math"/>
                                <w:lang w:val="zh-CN"/>
                              </w:rPr>
                            </m:ctrlPr>
                          </m:e>
                          <m:sup>
                            <m:r>
                              <m:rPr>
                                <m:sty m:val="p"/>
                              </m:rPr>
                              <w:rPr>
                                <w:rFonts w:hint="default" w:ascii="Cambria Math" w:hAnsi="Cambria Math"/>
                                <w:lang w:val="de-DE"/>
                              </w:rPr>
                              <m:t>2</m:t>
                            </m:r>
                            <m:ctrlPr>
                              <w:rPr>
                                <w:rFonts w:hint="default" w:ascii="Cambria Math" w:hAnsi="Cambria Math"/>
                                <w:lang w:val="zh-CN"/>
                              </w:rPr>
                            </m:ctrlPr>
                          </m:sup>
                        </m:sSup>
                        <m:r>
                          <m:rPr>
                            <m:sty m:val="p"/>
                          </m:rPr>
                          <w:rPr>
                            <w:rFonts w:hint="default" w:ascii="Cambria Math" w:hAnsi="Cambria Math"/>
                            <w:lang w:val="de-DE"/>
                          </w:rPr>
                          <m:t>,</m:t>
                        </m:r>
                        <m:sSub>
                          <m:sSubPr>
                            <m:ctrlPr>
                              <w:rPr>
                                <w:rFonts w:hint="default" w:ascii="Cambria Math" w:hAnsi="Cambria Math"/>
                                <w:lang w:val="zh-CN"/>
                              </w:rPr>
                            </m:ctrlPr>
                          </m:sSubPr>
                          <m:e>
                            <m:r>
                              <m:rPr/>
                              <w:rPr>
                                <w:rFonts w:hint="default" w:ascii="Cambria Math" w:hAnsi="Cambria Math"/>
                                <w:lang w:val="zh-CN"/>
                              </w:rPr>
                              <m:t>A</m:t>
                            </m:r>
                            <m:ctrlPr>
                              <w:rPr>
                                <w:rFonts w:hint="default" w:ascii="Cambria Math" w:hAnsi="Cambria Math"/>
                                <w:lang w:val="zh-CN"/>
                              </w:rPr>
                            </m:ctrlPr>
                          </m:e>
                          <m:sub>
                            <m:r>
                              <m:rPr/>
                              <w:rPr>
                                <w:rFonts w:hint="default" w:ascii="Cambria Math" w:hAnsi="Cambria Math"/>
                                <w:lang w:val="zh-CN"/>
                              </w:rPr>
                              <m:t>m</m:t>
                            </m:r>
                            <m:ctrlPr>
                              <w:rPr>
                                <w:rFonts w:hint="default" w:ascii="Cambria Math" w:hAnsi="Cambria Math"/>
                                <w:lang w:val="zh-CN"/>
                              </w:rPr>
                            </m:ctrlPr>
                          </m:sub>
                        </m:sSub>
                        <m:ctrlPr>
                          <w:rPr>
                            <w:rFonts w:hint="default" w:ascii="Cambria Math" w:hAnsi="Cambria Math"/>
                            <w:lang w:val="zh-CN"/>
                          </w:rPr>
                        </m:ctrlPr>
                      </m:e>
                    </m:d>
                    <m:ctrlPr>
                      <w:rPr>
                        <w:rFonts w:hint="default" w:ascii="Cambria Math" w:hAnsi="Cambria Math"/>
                        <w:lang w:val="zh-CN"/>
                      </w:rPr>
                    </m:ctrlPr>
                  </m:e>
                </m:func>
                <m:r>
                  <m:rPr>
                    <m:sty m:val="p"/>
                  </m:rPr>
                  <w:rPr>
                    <w:rFonts w:hint="default" w:ascii="Cambria Math" w:hAnsi="Cambria Math"/>
                    <w:lang w:val="de-DE"/>
                  </w:rPr>
                  <m:t>,</m:t>
                </m:r>
                <m:sSub>
                  <m:sSubPr>
                    <m:ctrlPr>
                      <w:rPr>
                        <w:rFonts w:hint="default" w:ascii="Cambria Math" w:hAnsi="Cambria Math"/>
                        <w:lang w:val="zh-CN"/>
                      </w:rPr>
                    </m:ctrlPr>
                  </m:sSubPr>
                  <m:e>
                    <m:r>
                      <m:rPr/>
                      <w:rPr>
                        <w:rFonts w:hint="default" w:ascii="Cambria Math" w:hAnsi="Cambria Math"/>
                        <w:lang w:val="zh-CN"/>
                      </w:rPr>
                      <m:t>ϕ</m:t>
                    </m:r>
                    <m:ctrlPr>
                      <w:rPr>
                        <w:rFonts w:hint="default" w:ascii="Cambria Math" w:hAnsi="Cambria Math"/>
                        <w:lang w:val="zh-CN"/>
                      </w:rPr>
                    </m:ctrlPr>
                  </m:e>
                  <m:sub>
                    <m:r>
                      <m:rPr>
                        <m:nor/>
                        <m:sty m:val="p"/>
                      </m:rPr>
                      <w:rPr>
                        <w:rFonts w:hint="default"/>
                        <w:b w:val="0"/>
                        <w:i w:val="0"/>
                        <w:lang w:val="de-DE"/>
                      </w:rPr>
                      <m:t>3dB</m:t>
                    </m:r>
                    <m:ctrlPr>
                      <w:rPr>
                        <w:rFonts w:hint="default" w:ascii="Cambria Math" w:hAnsi="Cambria Math"/>
                        <w:lang w:val="zh-CN"/>
                      </w:rPr>
                    </m:ctrlPr>
                  </m:sub>
                </m:sSub>
                <m:r>
                  <m:rPr>
                    <m:sty m:val="p"/>
                  </m:rPr>
                  <w:rPr>
                    <w:rFonts w:hint="default" w:ascii="Cambria Math" w:hAnsi="Cambria Math"/>
                    <w:lang w:val="de-DE"/>
                  </w:rPr>
                  <m:t>=65°,</m:t>
                </m:r>
                <m:sSub>
                  <m:sSubPr>
                    <m:ctrlPr>
                      <w:rPr>
                        <w:rFonts w:hint="default" w:ascii="Cambria Math" w:hAnsi="Cambria Math"/>
                        <w:lang w:val="zh-CN"/>
                      </w:rPr>
                    </m:ctrlPr>
                  </m:sSubPr>
                  <m:e>
                    <m:r>
                      <m:rPr/>
                      <w:rPr>
                        <w:rFonts w:hint="default" w:ascii="Cambria Math" w:hAnsi="Cambria Math"/>
                        <w:lang w:val="zh-CN"/>
                      </w:rPr>
                      <m:t>A</m:t>
                    </m:r>
                    <m:ctrlPr>
                      <w:rPr>
                        <w:rFonts w:hint="default" w:ascii="Cambria Math" w:hAnsi="Cambria Math"/>
                        <w:lang w:val="zh-CN"/>
                      </w:rPr>
                    </m:ctrlPr>
                  </m:e>
                  <m:sub>
                    <m:r>
                      <m:rPr/>
                      <w:rPr>
                        <w:rFonts w:hint="default" w:ascii="Cambria Math" w:hAnsi="Cambria Math"/>
                        <w:lang w:val="zh-CN"/>
                      </w:rPr>
                      <m:t>m</m:t>
                    </m:r>
                    <m:ctrlPr>
                      <w:rPr>
                        <w:rFonts w:hint="default" w:ascii="Cambria Math" w:hAnsi="Cambria Math"/>
                        <w:lang w:val="zh-CN"/>
                      </w:rPr>
                    </m:ctrlPr>
                  </m:sub>
                </m:sSub>
                <m:r>
                  <m:rPr>
                    <m:sty m:val="p"/>
                  </m:rPr>
                  <w:rPr>
                    <w:rFonts w:hint="default" w:ascii="Cambria Math" w:hAnsi="Cambria Math"/>
                    <w:lang w:val="de-DE"/>
                  </w:rPr>
                  <m:t>=20</m:t>
                </m:r>
                <m:r>
                  <m:rPr>
                    <m:nor/>
                    <m:sty m:val="p"/>
                  </m:rPr>
                  <w:rPr>
                    <w:rFonts w:hint="default"/>
                    <w:b w:val="0"/>
                    <w:i w:val="0"/>
                    <w:lang w:val="de-DE"/>
                  </w:rPr>
                  <m:t>dB</m:t>
                </m:r>
              </m:oMath>
            </m:oMathPara>
          </w:p>
          <w:p w14:paraId="5EA09D63">
            <w:pPr>
              <w:pStyle w:val="39"/>
              <w:suppressLineNumbers w:val="0"/>
              <w:spacing w:before="0" w:beforeAutospacing="0" w:afterAutospacing="0"/>
              <w:ind w:left="0" w:right="0"/>
              <w:rPr>
                <w:rFonts w:hint="default"/>
                <w:lang w:val="de-DE"/>
              </w:rPr>
            </w:pPr>
          </w:p>
        </w:tc>
      </w:tr>
      <w:tr w14:paraId="3D92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14:paraId="1440FC9D">
            <w:pPr>
              <w:pStyle w:val="40"/>
              <w:suppressLineNumbers w:val="0"/>
              <w:spacing w:before="0" w:beforeAutospacing="0" w:afterAutospacing="0"/>
              <w:ind w:left="0" w:right="0"/>
              <w:rPr>
                <w:rFonts w:hint="default"/>
              </w:rPr>
            </w:pPr>
            <w:r>
              <w:rPr>
                <w:rFonts w:hint="default"/>
              </w:rPr>
              <w:t>Combining method for 3D antenna pattern (dB)</w:t>
            </w:r>
          </w:p>
        </w:tc>
        <w:tc>
          <w:tcPr>
            <w:tcW w:w="5927" w:type="dxa"/>
            <w:gridSpan w:val="2"/>
            <w:vAlign w:val="center"/>
          </w:tcPr>
          <w:p w14:paraId="1C27CA8F">
            <w:pPr>
              <w:pStyle w:val="39"/>
              <w:suppressLineNumbers w:val="0"/>
              <w:spacing w:before="0" w:beforeAutospacing="0" w:afterAutospacing="0"/>
              <w:ind w:left="0" w:right="0"/>
              <w:rPr>
                <w:rFonts w:hint="default"/>
                <w:lang w:val="zh-CN"/>
              </w:rPr>
            </w:pPr>
            <m:oMathPara>
              <m:oMath>
                <m:sSup>
                  <m:sSupPr>
                    <m:ctrlPr>
                      <w:rPr>
                        <w:rFonts w:hint="default" w:ascii="Cambria Math" w:hAnsi="Cambria Math"/>
                        <w:sz w:val="20"/>
                        <w:lang w:val="zh-CN"/>
                      </w:rPr>
                    </m:ctrlPr>
                  </m:sSupPr>
                  <m:e>
                    <m:r>
                      <m:rPr>
                        <m:sty m:val="p"/>
                      </m:rPr>
                      <w:rPr>
                        <w:rFonts w:hint="default" w:ascii="Cambria Math" w:hAnsi="Cambria Math"/>
                        <w:lang w:val="zh-CN"/>
                      </w:rPr>
                      <m:t>A</m:t>
                    </m:r>
                    <m:ctrlPr>
                      <w:rPr>
                        <w:rFonts w:hint="default" w:ascii="Cambria Math" w:hAnsi="Cambria Math"/>
                        <w:sz w:val="20"/>
                        <w:lang w:val="zh-CN"/>
                      </w:rPr>
                    </m:ctrlPr>
                  </m:e>
                  <m:sup>
                    <m:r>
                      <m:rPr/>
                      <w:rPr>
                        <w:rFonts w:hint="default" w:ascii="Cambria Math" w:hAnsi="Cambria Math"/>
                        <w:lang w:val="zh-CN"/>
                      </w:rPr>
                      <m:t>“</m:t>
                    </m:r>
                    <m:ctrlPr>
                      <w:rPr>
                        <w:rFonts w:hint="default" w:ascii="Cambria Math" w:hAnsi="Cambria Math"/>
                        <w:sz w:val="20"/>
                        <w:lang w:val="zh-CN"/>
                      </w:rPr>
                    </m:ctrlPr>
                  </m:sup>
                </m:sSup>
                <m:d>
                  <m:dPr>
                    <m:begChr m:val="（"/>
                    <m:endChr m:val="）"/>
                    <m:ctrlPr>
                      <w:rPr>
                        <w:rFonts w:hint="default" w:ascii="Cambria Math" w:hAnsi="Cambria Math"/>
                        <w:lang w:val="de-DE"/>
                      </w:rPr>
                    </m:ctrlPr>
                  </m:dPr>
                  <m:e>
                    <m:sSup>
                      <m:sSupPr>
                        <m:ctrlPr>
                          <w:rPr>
                            <w:rFonts w:hint="default" w:ascii="Cambria Math" w:hAnsi="Cambria Math"/>
                            <w:sz w:val="20"/>
                            <w:lang w:val="de-DE"/>
                          </w:rPr>
                        </m:ctrlPr>
                      </m:sSupPr>
                      <m:e>
                        <m:r>
                          <m:rPr>
                            <m:sty m:val="p"/>
                          </m:rPr>
                          <w:rPr>
                            <w:rFonts w:hint="default" w:ascii="Cambria Math" w:hAnsi="Cambria Math"/>
                            <w:lang w:val="de-DE"/>
                          </w:rPr>
                          <m:t>θ</m:t>
                        </m:r>
                        <m:ctrlPr>
                          <w:rPr>
                            <w:rFonts w:hint="default" w:ascii="Cambria Math" w:hAnsi="Cambria Math"/>
                            <w:sz w:val="20"/>
                            <w:lang w:val="de-DE"/>
                          </w:rPr>
                        </m:ctrlPr>
                      </m:e>
                      <m:sup>
                        <m:r>
                          <m:rPr/>
                          <w:rPr>
                            <w:rFonts w:hint="default" w:ascii="Cambria Math" w:hAnsi="Cambria Math"/>
                            <w:lang w:val="de-DE"/>
                          </w:rPr>
                          <m:t>"</m:t>
                        </m:r>
                        <m:ctrlPr>
                          <w:rPr>
                            <w:rFonts w:hint="default" w:ascii="Cambria Math" w:hAnsi="Cambria Math"/>
                            <w:sz w:val="20"/>
                            <w:lang w:val="de-DE"/>
                          </w:rPr>
                        </m:ctrlPr>
                      </m:sup>
                    </m:sSup>
                    <m:r>
                      <m:rPr>
                        <m:sty m:val="p"/>
                      </m:rPr>
                      <w:rPr>
                        <w:rFonts w:hint="default" w:ascii="Cambria Math" w:hAnsi="Cambria Math"/>
                        <w:lang w:val="de-DE"/>
                      </w:rPr>
                      <m:t>,</m:t>
                    </m:r>
                    <m:sSup>
                      <m:sSupPr>
                        <m:ctrlPr>
                          <w:rPr>
                            <w:rFonts w:hint="default" w:ascii="Cambria Math" w:hAnsi="Cambria Math"/>
                            <w:sz w:val="20"/>
                            <w:lang w:val="de-DE"/>
                          </w:rPr>
                        </m:ctrlPr>
                      </m:sSupPr>
                      <m:e>
                        <m:r>
                          <m:rPr/>
                          <w:rPr>
                            <w:rFonts w:hint="default" w:ascii="Cambria Math" w:hAnsi="Cambria Math"/>
                            <w:lang w:val="de-DE"/>
                          </w:rPr>
                          <m:t>φ</m:t>
                        </m:r>
                        <m:ctrlPr>
                          <w:rPr>
                            <w:rFonts w:hint="default" w:ascii="Cambria Math" w:hAnsi="Cambria Math"/>
                            <w:sz w:val="20"/>
                            <w:lang w:val="de-DE"/>
                          </w:rPr>
                        </m:ctrlPr>
                      </m:e>
                      <m:sup>
                        <m:r>
                          <m:rPr/>
                          <w:rPr>
                            <w:rFonts w:hint="default" w:ascii="Cambria Math" w:hAnsi="Cambria Math"/>
                            <w:lang w:val="de-DE"/>
                          </w:rPr>
                          <m:t>”</m:t>
                        </m:r>
                        <m:ctrlPr>
                          <w:rPr>
                            <w:rFonts w:hint="default" w:ascii="Cambria Math" w:hAnsi="Cambria Math"/>
                            <w:sz w:val="20"/>
                            <w:lang w:val="de-DE"/>
                          </w:rPr>
                        </m:ctrlPr>
                      </m:sup>
                    </m:sSup>
                    <m:ctrlPr>
                      <w:rPr>
                        <w:rFonts w:hint="default" w:ascii="Cambria Math" w:hAnsi="Cambria Math"/>
                        <w:lang w:val="de-DE"/>
                      </w:rPr>
                    </m:ctrlPr>
                  </m:e>
                </m:d>
                <m:r>
                  <m:rPr>
                    <m:sty m:val="p"/>
                  </m:rPr>
                  <w:rPr>
                    <w:rFonts w:hint="default" w:ascii="Cambria Math" w:hAnsi="Cambria Math"/>
                    <w:lang w:val="de-DE"/>
                  </w:rPr>
                  <m:t>=−min</m:t>
                </m:r>
                <m:d>
                  <m:dPr>
                    <m:begChr m:val="{"/>
                    <m:endChr m:val="}"/>
                    <m:ctrlPr>
                      <w:rPr>
                        <w:rFonts w:hint="default" w:ascii="Cambria Math" w:hAnsi="Cambria Math"/>
                        <w:sz w:val="20"/>
                        <w:lang w:val="de-DE"/>
                      </w:rPr>
                    </m:ctrlPr>
                  </m:dPr>
                  <m:e>
                    <m:r>
                      <m:rPr/>
                      <w:rPr>
                        <w:rFonts w:hint="default" w:ascii="Cambria Math" w:hAnsi="Cambria Math"/>
                        <w:lang w:val="de-DE"/>
                      </w:rPr>
                      <m:t>−</m:t>
                    </m:r>
                    <m:d>
                      <m:dPr>
                        <m:begChr m:val="["/>
                        <m:endChr m:val="]"/>
                        <m:ctrlPr>
                          <w:rPr>
                            <w:rFonts w:hint="default" w:ascii="Cambria Math" w:hAnsi="Cambria Math"/>
                            <w:i/>
                            <w:sz w:val="20"/>
                            <w:lang w:val="de-DE"/>
                          </w:rPr>
                        </m:ctrlPr>
                      </m:dPr>
                      <m:e>
                        <m:sSub>
                          <m:sSubPr>
                            <m:ctrlPr>
                              <w:rPr>
                                <w:rFonts w:hint="default" w:ascii="Cambria Math" w:hAnsi="Cambria Math"/>
                                <w:i/>
                                <w:sz w:val="20"/>
                                <w:lang w:val="de-DE"/>
                              </w:rPr>
                            </m:ctrlPr>
                          </m:sSubPr>
                          <m:e>
                            <m:r>
                              <m:rPr/>
                              <w:rPr>
                                <w:rFonts w:hint="default" w:ascii="Cambria Math" w:hAnsi="Cambria Math"/>
                                <w:lang w:val="de-DE"/>
                              </w:rPr>
                              <m:t>A</m:t>
                            </m:r>
                            <m:ctrlPr>
                              <w:rPr>
                                <w:rFonts w:hint="default" w:ascii="Cambria Math" w:hAnsi="Cambria Math"/>
                                <w:i/>
                                <w:sz w:val="20"/>
                                <w:lang w:val="de-DE"/>
                              </w:rPr>
                            </m:ctrlPr>
                          </m:e>
                          <m:sub>
                            <m:r>
                              <m:rPr/>
                              <w:rPr>
                                <w:rFonts w:hint="eastAsia" w:ascii="Cambria Math" w:hAnsi="Cambria Math"/>
                                <w:lang w:val="de-DE" w:eastAsia="zh-CN"/>
                              </w:rPr>
                              <m:t>E</m:t>
                            </m:r>
                            <m:r>
                              <m:rPr/>
                              <w:rPr>
                                <w:rFonts w:hint="default" w:ascii="Cambria Math" w:hAnsi="Cambria Math"/>
                                <w:lang w:val="de-DE" w:eastAsia="zh-CN"/>
                              </w:rPr>
                              <m:t>,V</m:t>
                            </m:r>
                            <m:ctrlPr>
                              <w:rPr>
                                <w:rFonts w:hint="default" w:ascii="Cambria Math" w:hAnsi="Cambria Math"/>
                                <w:i/>
                                <w:sz w:val="20"/>
                                <w:lang w:val="de-DE"/>
                              </w:rPr>
                            </m:ctrlPr>
                          </m:sub>
                        </m:sSub>
                        <m:d>
                          <m:dPr>
                            <m:ctrlPr>
                              <w:rPr>
                                <w:rFonts w:hint="default" w:ascii="Cambria Math" w:hAnsi="Cambria Math"/>
                                <w:i/>
                                <w:lang w:val="de-DE"/>
                              </w:rPr>
                            </m:ctrlPr>
                          </m:dPr>
                          <m:e>
                            <m:sSup>
                              <m:sSupPr>
                                <m:ctrlPr>
                                  <w:rPr>
                                    <w:rFonts w:hint="default" w:ascii="Cambria Math" w:hAnsi="Cambria Math"/>
                                    <w:sz w:val="20"/>
                                    <w:lang w:val="de-DE"/>
                                  </w:rPr>
                                </m:ctrlPr>
                              </m:sSupPr>
                              <m:e>
                                <m:r>
                                  <m:rPr>
                                    <m:sty m:val="p"/>
                                  </m:rPr>
                                  <w:rPr>
                                    <w:rFonts w:hint="default" w:ascii="Cambria Math" w:hAnsi="Cambria Math"/>
                                    <w:lang w:val="de-DE"/>
                                  </w:rPr>
                                  <m:t>θ</m:t>
                                </m:r>
                                <m:ctrlPr>
                                  <w:rPr>
                                    <w:rFonts w:hint="default" w:ascii="Cambria Math" w:hAnsi="Cambria Math"/>
                                    <w:sz w:val="20"/>
                                    <w:lang w:val="de-DE"/>
                                  </w:rPr>
                                </m:ctrlPr>
                              </m:e>
                              <m:sup>
                                <m:r>
                                  <m:rPr/>
                                  <w:rPr>
                                    <w:rFonts w:hint="default" w:ascii="Cambria Math" w:hAnsi="Cambria Math"/>
                                    <w:lang w:val="de-DE"/>
                                  </w:rPr>
                                  <m:t>"</m:t>
                                </m:r>
                                <m:ctrlPr>
                                  <w:rPr>
                                    <w:rFonts w:hint="default" w:ascii="Cambria Math" w:hAnsi="Cambria Math"/>
                                    <w:sz w:val="20"/>
                                    <w:lang w:val="de-DE"/>
                                  </w:rPr>
                                </m:ctrlPr>
                              </m:sup>
                            </m:sSup>
                            <m:ctrlPr>
                              <w:rPr>
                                <w:rFonts w:hint="default" w:ascii="Cambria Math" w:hAnsi="Cambria Math"/>
                                <w:i/>
                                <w:lang w:val="de-DE"/>
                              </w:rPr>
                            </m:ctrlPr>
                          </m:e>
                        </m:d>
                        <m:r>
                          <m:rPr/>
                          <w:rPr>
                            <w:rFonts w:hint="default" w:ascii="Cambria Math" w:hAnsi="Cambria Math"/>
                            <w:lang w:val="de-DE"/>
                          </w:rPr>
                          <m:t>+</m:t>
                        </m:r>
                        <m:sSub>
                          <m:sSubPr>
                            <m:ctrlPr>
                              <w:rPr>
                                <w:rFonts w:hint="default" w:ascii="Cambria Math" w:hAnsi="Cambria Math"/>
                                <w:i/>
                                <w:sz w:val="20"/>
                                <w:lang w:val="de-DE"/>
                              </w:rPr>
                            </m:ctrlPr>
                          </m:sSubPr>
                          <m:e>
                            <m:r>
                              <m:rPr/>
                              <w:rPr>
                                <w:rFonts w:hint="default" w:ascii="Cambria Math" w:hAnsi="Cambria Math"/>
                                <w:lang w:val="de-DE"/>
                              </w:rPr>
                              <m:t>A</m:t>
                            </m:r>
                            <m:ctrlPr>
                              <w:rPr>
                                <w:rFonts w:hint="default" w:ascii="Cambria Math" w:hAnsi="Cambria Math"/>
                                <w:i/>
                                <w:sz w:val="20"/>
                                <w:lang w:val="de-DE"/>
                              </w:rPr>
                            </m:ctrlPr>
                          </m:e>
                          <m:sub>
                            <m:r>
                              <m:rPr/>
                              <w:rPr>
                                <w:rFonts w:hint="eastAsia" w:ascii="Cambria Math" w:hAnsi="Cambria Math"/>
                                <w:lang w:val="de-DE" w:eastAsia="zh-CN"/>
                              </w:rPr>
                              <m:t>E</m:t>
                            </m:r>
                            <m:r>
                              <m:rPr/>
                              <w:rPr>
                                <w:rFonts w:hint="default" w:ascii="Cambria Math" w:hAnsi="Cambria Math"/>
                                <w:lang w:val="de-DE" w:eastAsia="zh-CN"/>
                              </w:rPr>
                              <m:t>,</m:t>
                            </m:r>
                            <m:r>
                              <m:rPr/>
                              <w:rPr>
                                <w:rFonts w:hint="eastAsia" w:ascii="Cambria Math" w:hAnsi="Cambria Math"/>
                                <w:lang w:val="de-DE" w:eastAsia="zh-CN"/>
                              </w:rPr>
                              <m:t>H</m:t>
                            </m:r>
                            <m:ctrlPr>
                              <w:rPr>
                                <w:rFonts w:hint="default" w:ascii="Cambria Math" w:hAnsi="Cambria Math"/>
                                <w:i/>
                                <w:sz w:val="20"/>
                                <w:lang w:val="de-DE"/>
                              </w:rPr>
                            </m:ctrlPr>
                          </m:sub>
                        </m:sSub>
                        <m:d>
                          <m:dPr>
                            <m:ctrlPr>
                              <w:rPr>
                                <w:rFonts w:hint="default" w:ascii="Cambria Math" w:hAnsi="Cambria Math"/>
                                <w:i/>
                                <w:lang w:val="de-DE"/>
                              </w:rPr>
                            </m:ctrlPr>
                          </m:dPr>
                          <m:e>
                            <m:sSup>
                              <m:sSupPr>
                                <m:ctrlPr>
                                  <w:rPr>
                                    <w:rFonts w:hint="default" w:ascii="Cambria Math" w:hAnsi="Cambria Math"/>
                                    <w:sz w:val="20"/>
                                    <w:lang w:val="de-DE"/>
                                  </w:rPr>
                                </m:ctrlPr>
                              </m:sSupPr>
                              <m:e>
                                <m:r>
                                  <m:rPr/>
                                  <w:rPr>
                                    <w:rFonts w:hint="default" w:ascii="Cambria Math" w:hAnsi="Cambria Math"/>
                                    <w:lang w:val="de-DE"/>
                                  </w:rPr>
                                  <m:t>φ</m:t>
                                </m:r>
                                <m:ctrlPr>
                                  <w:rPr>
                                    <w:rFonts w:hint="default" w:ascii="Cambria Math" w:hAnsi="Cambria Math"/>
                                    <w:sz w:val="20"/>
                                    <w:lang w:val="de-DE"/>
                                  </w:rPr>
                                </m:ctrlPr>
                              </m:e>
                              <m:sup>
                                <m:r>
                                  <m:rPr/>
                                  <w:rPr>
                                    <w:rFonts w:hint="default" w:ascii="Cambria Math" w:hAnsi="Cambria Math"/>
                                    <w:lang w:val="de-DE"/>
                                  </w:rPr>
                                  <m:t>”</m:t>
                                </m:r>
                                <m:ctrlPr>
                                  <w:rPr>
                                    <w:rFonts w:hint="default" w:ascii="Cambria Math" w:hAnsi="Cambria Math"/>
                                    <w:sz w:val="20"/>
                                    <w:lang w:val="de-DE"/>
                                  </w:rPr>
                                </m:ctrlPr>
                              </m:sup>
                            </m:sSup>
                            <m:ctrlPr>
                              <w:rPr>
                                <w:rFonts w:hint="default" w:ascii="Cambria Math" w:hAnsi="Cambria Math"/>
                                <w:i/>
                                <w:lang w:val="de-DE"/>
                              </w:rPr>
                            </m:ctrlPr>
                          </m:e>
                        </m:d>
                        <m:ctrlPr>
                          <w:rPr>
                            <w:rFonts w:hint="default" w:ascii="Cambria Math" w:hAnsi="Cambria Math"/>
                            <w:i/>
                            <w:sz w:val="20"/>
                            <w:lang w:val="de-DE"/>
                          </w:rPr>
                        </m:ctrlPr>
                      </m:e>
                    </m:d>
                    <m:r>
                      <m:rPr/>
                      <w:rPr>
                        <w:rFonts w:hint="default" w:ascii="Cambria Math" w:hAnsi="Cambria Math"/>
                        <w:lang w:val="de-DE"/>
                      </w:rPr>
                      <m:t xml:space="preserve">, </m:t>
                    </m:r>
                    <m:sSub>
                      <m:sSubPr>
                        <m:ctrlPr>
                          <w:rPr>
                            <w:rFonts w:hint="default" w:ascii="Cambria Math" w:hAnsi="Cambria Math"/>
                            <w:i/>
                            <w:sz w:val="20"/>
                            <w:lang w:val="de-DE"/>
                          </w:rPr>
                        </m:ctrlPr>
                      </m:sSubPr>
                      <m:e>
                        <m:r>
                          <m:rPr/>
                          <w:rPr>
                            <w:rFonts w:hint="default" w:ascii="Cambria Math" w:hAnsi="Cambria Math"/>
                            <w:lang w:val="de-DE"/>
                          </w:rPr>
                          <m:t>A</m:t>
                        </m:r>
                        <m:ctrlPr>
                          <w:rPr>
                            <w:rFonts w:hint="default" w:ascii="Cambria Math" w:hAnsi="Cambria Math"/>
                            <w:i/>
                            <w:sz w:val="20"/>
                            <w:lang w:val="de-DE"/>
                          </w:rPr>
                        </m:ctrlPr>
                      </m:e>
                      <m:sub>
                        <m:r>
                          <m:rPr/>
                          <w:rPr>
                            <w:rFonts w:hint="default" w:ascii="Cambria Math" w:hAnsi="Cambria Math"/>
                            <w:lang w:val="de-DE"/>
                          </w:rPr>
                          <m:t>m</m:t>
                        </m:r>
                        <m:ctrlPr>
                          <w:rPr>
                            <w:rFonts w:hint="default" w:ascii="Cambria Math" w:hAnsi="Cambria Math"/>
                            <w:i/>
                            <w:sz w:val="20"/>
                            <w:lang w:val="de-DE"/>
                          </w:rPr>
                        </m:ctrlPr>
                      </m:sub>
                    </m:sSub>
                    <m:ctrlPr>
                      <w:rPr>
                        <w:rFonts w:hint="default" w:ascii="Cambria Math" w:hAnsi="Cambria Math"/>
                        <w:sz w:val="20"/>
                        <w:lang w:val="de-DE"/>
                      </w:rPr>
                    </m:ctrlPr>
                  </m:e>
                </m:d>
              </m:oMath>
            </m:oMathPara>
          </w:p>
        </w:tc>
      </w:tr>
      <w:tr w14:paraId="5D79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14:paraId="3C3576D3">
            <w:pPr>
              <w:pStyle w:val="40"/>
              <w:suppressLineNumbers w:val="0"/>
              <w:spacing w:before="0" w:beforeAutospacing="0" w:afterAutospacing="0"/>
              <w:ind w:left="0" w:right="0"/>
              <w:rPr>
                <w:rFonts w:hint="default"/>
              </w:rPr>
            </w:pPr>
            <w:r>
              <w:rPr>
                <w:rFonts w:hint="default"/>
              </w:rPr>
              <w:t xml:space="preserve">Maximum directional gain of an antenna </w:t>
            </w:r>
            <w:r>
              <w:rPr>
                <w:rFonts w:hint="default"/>
                <w:i/>
              </w:rPr>
              <w:t>G</w:t>
            </w:r>
            <w:r>
              <w:rPr>
                <w:rFonts w:hint="default"/>
                <w:i/>
                <w:vertAlign w:val="subscript"/>
              </w:rPr>
              <w:t>E,max</w:t>
            </w:r>
          </w:p>
        </w:tc>
        <w:tc>
          <w:tcPr>
            <w:tcW w:w="5927" w:type="dxa"/>
            <w:gridSpan w:val="2"/>
            <w:vAlign w:val="center"/>
          </w:tcPr>
          <w:p w14:paraId="6A1C5F1B">
            <w:pPr>
              <w:pStyle w:val="39"/>
              <w:suppressLineNumbers w:val="0"/>
              <w:spacing w:before="0" w:beforeAutospacing="0" w:afterAutospacing="0"/>
              <w:ind w:left="0" w:right="0"/>
              <w:rPr>
                <w:rFonts w:hint="default"/>
                <w:lang w:val="zh-CN"/>
              </w:rPr>
            </w:pPr>
            <w:r>
              <w:rPr>
                <w:rFonts w:hint="default"/>
                <w:lang w:val="zh-CN" w:eastAsia="ja-JP"/>
              </w:rPr>
              <w:t xml:space="preserve">17 </w:t>
            </w:r>
            <w:r>
              <w:rPr>
                <w:rFonts w:hint="default"/>
                <w:lang w:val="zh-CN"/>
              </w:rPr>
              <w:t xml:space="preserve">dBi </w:t>
            </w:r>
          </w:p>
        </w:tc>
      </w:tr>
      <w:tr w14:paraId="0144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14:paraId="19930D3C">
            <w:pPr>
              <w:pStyle w:val="40"/>
              <w:suppressLineNumbers w:val="0"/>
              <w:spacing w:before="0" w:beforeAutospacing="0" w:afterAutospacing="0"/>
              <w:ind w:left="0" w:right="0"/>
              <w:rPr>
                <w:rFonts w:hint="default"/>
              </w:rPr>
            </w:pPr>
            <w:r>
              <w:rPr>
                <w:rFonts w:hint="default"/>
              </w:rPr>
              <w:t>Conducted power</w:t>
            </w:r>
          </w:p>
        </w:tc>
        <w:tc>
          <w:tcPr>
            <w:tcW w:w="5927" w:type="dxa"/>
            <w:gridSpan w:val="2"/>
            <w:vAlign w:val="center"/>
          </w:tcPr>
          <w:p w14:paraId="396F6361">
            <w:pPr>
              <w:pStyle w:val="39"/>
              <w:suppressLineNumbers w:val="0"/>
              <w:spacing w:before="0" w:beforeAutospacing="0" w:afterAutospacing="0"/>
              <w:ind w:left="0" w:right="0"/>
              <w:rPr>
                <w:rFonts w:hint="default"/>
                <w:lang w:val="zh-CN"/>
              </w:rPr>
            </w:pPr>
            <w:r>
              <w:rPr>
                <w:rFonts w:hint="default"/>
                <w:lang w:val="zh-CN"/>
              </w:rPr>
              <w:t>46 dBm</w:t>
            </w:r>
          </w:p>
        </w:tc>
      </w:tr>
      <w:tr w14:paraId="5A18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jc w:val="center"/>
        </w:trPr>
        <w:tc>
          <w:tcPr>
            <w:tcW w:w="2290" w:type="dxa"/>
            <w:shd w:val="clear" w:color="auto" w:fill="auto"/>
            <w:vAlign w:val="center"/>
          </w:tcPr>
          <w:p w14:paraId="36B09DE5">
            <w:pPr>
              <w:pStyle w:val="40"/>
              <w:suppressLineNumbers w:val="0"/>
              <w:spacing w:before="0" w:beforeAutospacing="0" w:afterAutospacing="0"/>
              <w:ind w:left="0" w:right="0"/>
              <w:rPr>
                <w:rFonts w:hint="default"/>
              </w:rPr>
            </w:pPr>
            <w:r>
              <w:rPr>
                <w:rFonts w:hint="default"/>
              </w:rPr>
              <w:t>Mechanical downtilt in degrees</w:t>
            </w:r>
          </w:p>
        </w:tc>
        <w:tc>
          <w:tcPr>
            <w:tcW w:w="3747" w:type="dxa"/>
            <w:vAlign w:val="center"/>
          </w:tcPr>
          <w:p w14:paraId="354EAD5C">
            <w:pPr>
              <w:pStyle w:val="39"/>
              <w:suppressLineNumbers w:val="0"/>
              <w:spacing w:before="0" w:beforeAutospacing="0" w:afterAutospacing="0"/>
              <w:ind w:left="0" w:right="0"/>
              <w:rPr>
                <w:rFonts w:hint="default"/>
                <w:lang w:val="zh-CN"/>
              </w:rPr>
            </w:pPr>
            <w:r>
              <w:rPr>
                <w:rFonts w:hint="default"/>
                <w:lang w:val="zh-CN"/>
              </w:rPr>
              <w:t>Urban</w:t>
            </w:r>
          </w:p>
        </w:tc>
        <w:tc>
          <w:tcPr>
            <w:tcW w:w="2180" w:type="dxa"/>
            <w:vAlign w:val="center"/>
          </w:tcPr>
          <w:p w14:paraId="0BB402EF">
            <w:pPr>
              <w:pStyle w:val="39"/>
              <w:suppressLineNumbers w:val="0"/>
              <w:spacing w:before="0" w:beforeAutospacing="0" w:afterAutospacing="0"/>
              <w:ind w:left="0" w:right="0"/>
              <w:rPr>
                <w:rFonts w:hint="default"/>
                <w:lang w:val="zh-CN"/>
              </w:rPr>
            </w:pPr>
            <w:r>
              <w:rPr>
                <w:rFonts w:hint="default"/>
                <w:lang w:val="zh-CN"/>
              </w:rPr>
              <w:t>10</w:t>
            </w:r>
          </w:p>
        </w:tc>
      </w:tr>
    </w:tbl>
    <w:p w14:paraId="27D23EC9">
      <w:bookmarkStart w:id="5" w:name="_Toc46233020"/>
      <w:bookmarkStart w:id="6" w:name="_Toc518937161"/>
    </w:p>
    <w:bookmarkEnd w:id="5"/>
    <w:bookmarkEnd w:id="6"/>
    <w:p w14:paraId="1FA69EF4">
      <w:pPr>
        <w:rPr>
          <w:lang w:eastAsia="zh-CN"/>
        </w:rPr>
      </w:pPr>
      <w:r>
        <w:t>For UE antennas, a</w:t>
      </w:r>
      <w:r>
        <w:rPr>
          <w:rFonts w:hint="eastAsia"/>
        </w:rPr>
        <w:t>n</w:t>
      </w:r>
      <w:r>
        <w:t xml:space="preserve"> omni-directional radiation pattern with antenna gain 0dBi is assumed.</w:t>
      </w:r>
      <w:bookmarkStart w:id="7" w:name="_Toc104502874"/>
      <w:bookmarkStart w:id="8" w:name="_Toc87889251"/>
      <w:bookmarkStart w:id="9" w:name="_Toc104122356"/>
      <w:bookmarkStart w:id="10" w:name="_Toc106127634"/>
      <w:bookmarkStart w:id="11" w:name="_Toc104210162"/>
      <w:bookmarkStart w:id="12" w:name="_Toc94170352"/>
    </w:p>
    <w:p w14:paraId="4402F49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ascii="Arial" w:hAnsi="Arial" w:cs="Arial"/>
          <w:lang w:val="en-US" w:eastAsia="zh-CN"/>
        </w:rPr>
      </w:pPr>
      <w:r>
        <w:rPr>
          <w:rFonts w:hint="eastAsia" w:ascii="Arial" w:hAnsi="Arial" w:cs="Arial"/>
          <w:lang w:val="en-US" w:eastAsia="zh-CN"/>
        </w:rPr>
        <w:t>2.2.3. ACIR modelling</w:t>
      </w:r>
    </w:p>
    <w:bookmarkEnd w:id="7"/>
    <w:bookmarkEnd w:id="8"/>
    <w:bookmarkEnd w:id="9"/>
    <w:bookmarkEnd w:id="10"/>
    <w:bookmarkEnd w:id="11"/>
    <w:bookmarkEnd w:id="12"/>
    <w:p w14:paraId="50F10452">
      <w:pPr>
        <w:rPr>
          <w:rFonts w:hint="default" w:eastAsia="宋体"/>
          <w:lang w:val="en-US" w:eastAsia="zh-CN"/>
        </w:rPr>
      </w:pPr>
      <w:r>
        <w:rPr>
          <w:lang w:val="sv-SE"/>
        </w:rPr>
        <w:t xml:space="preserve">ACLR modelling </w:t>
      </w:r>
      <w:r>
        <w:rPr>
          <w:rFonts w:hint="eastAsia"/>
          <w:lang w:val="en-US" w:eastAsia="zh-CN"/>
        </w:rPr>
        <w:t>between NR and A-IoT system, considering the asymmetric bandwidth between NR and A-IoT, we propose to reuse the ACIR modelling in TR 36.802 for NB-IoT coexistence study in Rel-13.</w:t>
      </w:r>
    </w:p>
    <w:p w14:paraId="07E3A46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eastAsia="MS Mincho"/>
          <w:lang w:eastAsia="ja-JP"/>
        </w:rPr>
      </w:pPr>
      <w:bookmarkStart w:id="13" w:name="_Toc79091615"/>
      <w:r>
        <w:rPr>
          <w:rFonts w:hint="eastAsia" w:ascii="Arial" w:hAnsi="Arial" w:cs="Arial"/>
          <w:lang w:val="en-US" w:eastAsia="zh-CN"/>
        </w:rPr>
        <w:t>2.2.4. Uplink power control</w:t>
      </w:r>
    </w:p>
    <w:p w14:paraId="03D20B0D">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等线"/>
        </w:rPr>
        <w:t>is</w:t>
      </w:r>
      <w:r>
        <w:rPr>
          <w:rFonts w:hint="eastAsia" w:eastAsia="等线"/>
        </w:rPr>
        <w:t xml:space="preserve"> </w:t>
      </w:r>
      <w:r>
        <w:rPr>
          <w:rFonts w:eastAsia="MS Mincho"/>
          <w:lang w:eastAsia="ja-JP"/>
        </w:rPr>
        <w:t>applied for TN with following parameters.</w:t>
      </w:r>
    </w:p>
    <w:p w14:paraId="2BFEAABF">
      <w:pPr>
        <w:pStyle w:val="46"/>
        <w:jc w:val="center"/>
      </w:pPr>
      <w:r>
        <w:object>
          <v:shape id="_x0000_i1025" o:spt="75" type="#_x0000_t75" style="height:43.2pt;width:179.7pt;" o:ole="t" fillcolor="#00CC99"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p>
    <w:p w14:paraId="1C603A77">
      <w:r>
        <w:t xml:space="preserve">where: </w:t>
      </w:r>
    </w:p>
    <w:p w14:paraId="6C6ABAAE">
      <w:pPr>
        <w:pStyle w:val="53"/>
      </w:pPr>
      <w:r>
        <w:t>-</w:t>
      </w:r>
      <w:r>
        <w:tab/>
      </w:r>
      <w:r>
        <w:t>P</w:t>
      </w:r>
      <w:r>
        <w:rPr>
          <w:vertAlign w:val="subscript"/>
        </w:rPr>
        <w:t>max</w:t>
      </w:r>
      <w:r>
        <w:t xml:space="preserve"> = 2</w:t>
      </w:r>
      <w:r>
        <w:rPr>
          <w:rFonts w:hint="eastAsia"/>
        </w:rPr>
        <w:t>3</w:t>
      </w:r>
      <w:r>
        <w:t xml:space="preserve">dBm, </w:t>
      </w:r>
    </w:p>
    <w:p w14:paraId="585C9120">
      <w:pPr>
        <w:pStyle w:val="53"/>
      </w:pPr>
      <w:r>
        <w:t>-</w:t>
      </w:r>
      <w:r>
        <w:tab/>
      </w:r>
      <w:r>
        <w:t>R</w:t>
      </w:r>
      <w:r>
        <w:rPr>
          <w:vertAlign w:val="subscript"/>
        </w:rPr>
        <w:t>min</w:t>
      </w:r>
      <w:r>
        <w:t xml:space="preserve"> = </w:t>
      </w:r>
      <w:r>
        <w:rPr>
          <w:rFonts w:hint="eastAsia"/>
        </w:rPr>
        <w:t xml:space="preserve">TBD </w:t>
      </w:r>
      <w:r>
        <w:t xml:space="preserve">dB, </w:t>
      </w:r>
    </w:p>
    <w:p w14:paraId="63E91DA1">
      <w:pPr>
        <w:pStyle w:val="53"/>
      </w:pPr>
      <w:r>
        <w:t>-</w:t>
      </w:r>
      <w:r>
        <w:tab/>
      </w:r>
      <w:r>
        <w:t>CL</w:t>
      </w:r>
      <w:r>
        <w:rPr>
          <w:vertAlign w:val="subscript"/>
        </w:rPr>
        <w:t>x-ile</w:t>
      </w:r>
      <w:r>
        <w:t xml:space="preserve"> and γ are set</w:t>
      </w:r>
      <w:r>
        <w:rPr>
          <w:rFonts w:hint="eastAsia"/>
        </w:rPr>
        <w:t xml:space="preserve"> as following</w:t>
      </w:r>
      <w:r>
        <w:t>:</w:t>
      </w:r>
    </w:p>
    <w:p w14:paraId="244E7C9A">
      <w:pPr>
        <w:pStyle w:val="111"/>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14:paraId="720EF3A3">
      <w:pPr>
        <w:pStyle w:val="111"/>
        <w:rPr>
          <w:lang w:eastAsia="ja-JP"/>
        </w:rPr>
      </w:pPr>
      <w:r>
        <w:t>-</w:t>
      </w:r>
      <w:r>
        <w:tab/>
      </w:r>
      <w:r>
        <w:t>γ</w:t>
      </w:r>
      <w:r>
        <w:rPr>
          <w:lang w:eastAsia="ja-JP"/>
        </w:rPr>
        <w:t xml:space="preserve"> = 1For uplink scenario, </w:t>
      </w:r>
    </w:p>
    <w:p w14:paraId="59BF95C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MS Mincho"/>
          <w:lang w:val="en-US" w:eastAsia="ja-JP"/>
        </w:rPr>
      </w:pPr>
      <w:r>
        <w:rPr>
          <w:rFonts w:hint="eastAsia" w:ascii="Arial" w:hAnsi="Arial" w:cs="Arial"/>
          <w:lang w:val="en-US" w:eastAsia="zh-CN"/>
        </w:rPr>
        <w:t>2.2.5. Received power model</w:t>
      </w:r>
    </w:p>
    <w:p w14:paraId="48328DD0">
      <w:r>
        <w:t>The received power in downlink and uplink scenarios is defined as below:</w:t>
      </w:r>
    </w:p>
    <w:p w14:paraId="567747C4">
      <w:pPr>
        <w:pStyle w:val="46"/>
        <w:jc w:val="center"/>
        <w:rPr>
          <w:i/>
        </w:rPr>
      </w:pPr>
      <w:r>
        <w:rPr>
          <w:i/>
        </w:rPr>
        <w:t>RX_PWR = TX_PWR – Path loss + G_TX + G_RX</w:t>
      </w:r>
    </w:p>
    <w:p w14:paraId="3D82216B">
      <w:r>
        <w:rPr>
          <w:rFonts w:hint="eastAsia"/>
          <w:lang w:eastAsia="zh-CN"/>
        </w:rPr>
        <w:t>w</w:t>
      </w:r>
      <w:r>
        <w:t>here:</w:t>
      </w:r>
      <w:r>
        <w:tab/>
      </w:r>
      <w:r>
        <w:tab/>
      </w:r>
      <w:r>
        <w:tab/>
      </w:r>
    </w:p>
    <w:p w14:paraId="2CC14B14">
      <w:pPr>
        <w:pStyle w:val="53"/>
      </w:pPr>
      <w:r>
        <w:t>-</w:t>
      </w:r>
      <w:r>
        <w:tab/>
      </w:r>
      <w:r>
        <w:t>RX_PWR is the received power</w:t>
      </w:r>
    </w:p>
    <w:p w14:paraId="17E1A5F5">
      <w:pPr>
        <w:pStyle w:val="53"/>
      </w:pPr>
      <w:r>
        <w:t>-</w:t>
      </w:r>
      <w:r>
        <w:tab/>
      </w:r>
      <w:r>
        <w:t>TX_PWR is the transmitted power</w:t>
      </w:r>
    </w:p>
    <w:p w14:paraId="46A86692">
      <w:pPr>
        <w:pStyle w:val="53"/>
      </w:pPr>
      <w:r>
        <w:t>-</w:t>
      </w:r>
      <w:r>
        <w:tab/>
      </w:r>
      <w:r>
        <w:t>G_TX is the transmitter antenna gain (directional array gain)</w:t>
      </w:r>
    </w:p>
    <w:p w14:paraId="668509AA">
      <w:pPr>
        <w:pStyle w:val="53"/>
      </w:pPr>
      <w:r>
        <w:t>-</w:t>
      </w:r>
      <w:r>
        <w:tab/>
      </w:r>
      <w:r>
        <w:t>G_RX is the receiver antenna gain (directional array gain).</w:t>
      </w:r>
    </w:p>
    <w:p w14:paraId="53E81B4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MS Mincho"/>
          <w:lang w:val="en-US" w:eastAsia="ja-JP"/>
        </w:rPr>
      </w:pPr>
      <w:bookmarkStart w:id="14" w:name="_Toc104502887"/>
      <w:bookmarkStart w:id="15" w:name="_Toc87889262"/>
      <w:bookmarkStart w:id="16" w:name="_Toc104210175"/>
      <w:bookmarkStart w:id="17" w:name="_Toc106127647"/>
      <w:bookmarkStart w:id="18" w:name="_Toc104122369"/>
      <w:bookmarkStart w:id="19" w:name="_Toc94170363"/>
      <w:r>
        <w:rPr>
          <w:rFonts w:hint="eastAsia" w:ascii="Arial" w:hAnsi="Arial" w:cs="Arial"/>
          <w:lang w:val="en-US" w:eastAsia="zh-CN"/>
        </w:rPr>
        <w:t>2.2.6. Performance metric</w:t>
      </w:r>
    </w:p>
    <w:bookmarkEnd w:id="14"/>
    <w:bookmarkEnd w:id="15"/>
    <w:bookmarkEnd w:id="16"/>
    <w:bookmarkEnd w:id="17"/>
    <w:bookmarkEnd w:id="18"/>
    <w:bookmarkEnd w:id="19"/>
    <w:p w14:paraId="1721843F">
      <w:r>
        <w:rPr>
          <w:rFonts w:hint="eastAsia"/>
        </w:rPr>
        <w:t>For NR,</w:t>
      </w:r>
      <w:r>
        <w:t xml:space="preserve"> t</w:t>
      </w:r>
      <w:r>
        <w:rPr>
          <w:rFonts w:hint="eastAsia"/>
        </w:rPr>
        <w:t>he average throughput loss and 5%-ile throughput loss should be less than 5%.</w:t>
      </w:r>
    </w:p>
    <w:p w14:paraId="7BDB1FED">
      <w:r>
        <w:t>F</w:t>
      </w:r>
      <w:r>
        <w:rPr>
          <w:rFonts w:hint="eastAsia"/>
        </w:rPr>
        <w:t xml:space="preserve">or </w:t>
      </w:r>
      <w:r>
        <w:rPr>
          <w:rFonts w:hint="eastAsia"/>
          <w:lang w:val="en-US" w:eastAsia="zh-CN"/>
        </w:rPr>
        <w:t>A</w:t>
      </w:r>
      <w:r>
        <w:rPr>
          <w:rFonts w:hint="eastAsia"/>
        </w:rPr>
        <w:t xml:space="preserve">-IOT, </w:t>
      </w:r>
      <w:r>
        <w:t>t</w:t>
      </w:r>
      <w:r>
        <w:rPr>
          <w:rFonts w:hint="eastAsia"/>
        </w:rPr>
        <w:t>he</w:t>
      </w:r>
      <w:r>
        <w:t xml:space="preserve"> </w:t>
      </w:r>
      <w:r>
        <w:rPr>
          <w:rFonts w:hint="eastAsia"/>
        </w:rPr>
        <w:t xml:space="preserve">SNR loss </w:t>
      </w:r>
      <w:r>
        <w:rPr>
          <w:rFonts w:hint="eastAsia"/>
          <w:lang w:val="en-US" w:eastAsia="zh-CN"/>
        </w:rPr>
        <w:t>could be considered similar as Rel-19 A-IoT coexistence study</w:t>
      </w:r>
      <w:r>
        <w:rPr>
          <w:rFonts w:hint="eastAsia"/>
        </w:rPr>
        <w:t>.</w:t>
      </w:r>
    </w:p>
    <w:p w14:paraId="32D04B1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MS Mincho"/>
          <w:lang w:val="en-US" w:eastAsia="ja-JP"/>
        </w:rPr>
      </w:pPr>
      <w:bookmarkStart w:id="20" w:name="_Toc104502888"/>
      <w:bookmarkStart w:id="21" w:name="_Toc87889263"/>
      <w:bookmarkStart w:id="22" w:name="_Toc94170364"/>
      <w:bookmarkStart w:id="23" w:name="_Toc106127648"/>
      <w:bookmarkStart w:id="24" w:name="_Toc104122370"/>
      <w:bookmarkStart w:id="25" w:name="_Toc104210176"/>
      <w:r>
        <w:rPr>
          <w:rFonts w:hint="eastAsia" w:ascii="Arial" w:hAnsi="Arial" w:cs="Arial"/>
          <w:lang w:val="en-US" w:eastAsia="zh-CN"/>
        </w:rPr>
        <w:t>2.2.7. Throughtput~SNR mapping</w:t>
      </w:r>
    </w:p>
    <w:bookmarkEnd w:id="20"/>
    <w:bookmarkEnd w:id="21"/>
    <w:bookmarkEnd w:id="22"/>
    <w:bookmarkEnd w:id="23"/>
    <w:bookmarkEnd w:id="24"/>
    <w:bookmarkEnd w:id="25"/>
    <w:p w14:paraId="412C37C4">
      <w:pPr>
        <w:rPr>
          <w:rFonts w:hint="default"/>
          <w:lang w:val="en-US" w:eastAsia="zh-CN"/>
        </w:rPr>
      </w:pPr>
      <w:r>
        <w:rPr>
          <w:rFonts w:eastAsia="等线"/>
          <w:lang w:val="sv-SE"/>
        </w:rPr>
        <w:t>Adopt Section 5.2.7 of TR 38.803[20] as the SINR-Throughput performance metrics</w:t>
      </w:r>
      <w:bookmarkEnd w:id="13"/>
    </w:p>
    <w:bookmarkEnd w:id="1"/>
    <w:bookmarkEnd w:id="2"/>
    <w:bookmarkEnd w:id="3"/>
    <w:bookmarkEnd w:id="4"/>
    <w:p w14:paraId="5159F7DC">
      <w:pPr>
        <w:pStyle w:val="58"/>
        <w:tabs>
          <w:tab w:val="left" w:pos="567"/>
          <w:tab w:val="clear" w:pos="1985"/>
        </w:tabs>
        <w:adjustRightInd w:val="0"/>
        <w:ind w:left="510" w:hanging="510"/>
      </w:pPr>
      <w:r>
        <w:t>Conclusions</w:t>
      </w:r>
    </w:p>
    <w:p w14:paraId="77B815F2">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Rel-20 A-IoT coexistence study</w:t>
      </w:r>
      <w:r>
        <w:rPr>
          <w:rFonts w:hint="eastAsia"/>
          <w:lang w:val="en-US" w:eastAsia="zh-CN"/>
        </w:rPr>
        <w:t xml:space="preserve"> </w:t>
      </w:r>
      <w:r>
        <w:rPr>
          <w:rFonts w:hint="eastAsia" w:eastAsiaTheme="minorEastAsia"/>
          <w:lang w:val="en-US" w:eastAsia="zh-CN"/>
        </w:rPr>
        <w:t xml:space="preserve">and proposals are made as following: </w:t>
      </w:r>
    </w:p>
    <w:p w14:paraId="495DD7B2">
      <w:pPr>
        <w:numPr>
          <w:ilvl w:val="0"/>
          <w:numId w:val="0"/>
        </w:num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A-IoT DL in-band operation, propose not to conduct the coexistence study due to the orthogonality between R2D signal and NR DL signal; </w:t>
      </w:r>
    </w:p>
    <w:p w14:paraId="492172E5">
      <w:pPr>
        <w:numPr>
          <w:ilvl w:val="0"/>
          <w:numId w:val="0"/>
        </w:numPr>
        <w:tabs>
          <w:tab w:val="left" w:pos="2127"/>
        </w:tabs>
        <w:spacing w:after="0"/>
        <w:jc w:val="left"/>
        <w:rPr>
          <w:rFonts w:hint="default"/>
          <w:lang w:val="en-US" w:eastAsia="zh-CN"/>
        </w:rPr>
      </w:pPr>
      <w:r>
        <w:rPr>
          <w:rFonts w:hint="eastAsia"/>
          <w:b/>
          <w:bCs/>
          <w:lang w:val="en-US" w:eastAsia="zh-CN"/>
        </w:rPr>
        <w:t>Proposal 2</w:t>
      </w:r>
      <w:r>
        <w:rPr>
          <w:rFonts w:hint="eastAsia"/>
          <w:lang w:val="en-US" w:eastAsia="zh-CN"/>
        </w:rPr>
        <w:t xml:space="preserve">: For A-IoT UL in-band operation, propose to conduct the coexistence study between OOK/BPSK and UL NR signal.  </w:t>
      </w:r>
    </w:p>
    <w:p w14:paraId="1E2ABCED">
      <w:pPr>
        <w:numPr>
          <w:ilvl w:val="0"/>
          <w:numId w:val="0"/>
        </w:num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A-IoT standalone deployment, propose to conduct the coexistence study in both DL and UL direction. </w:t>
      </w:r>
    </w:p>
    <w:p w14:paraId="6AD7AB47">
      <w:pPr>
        <w:numPr>
          <w:ilvl w:val="0"/>
          <w:numId w:val="0"/>
        </w:numPr>
        <w:tabs>
          <w:tab w:val="left" w:pos="2127"/>
        </w:tabs>
        <w:spacing w:after="0"/>
        <w:jc w:val="left"/>
        <w:rPr>
          <w:rFonts w:hint="default" w:eastAsiaTheme="minorEastAsia"/>
          <w:lang w:val="en-US" w:eastAsia="zh-CN"/>
        </w:rPr>
      </w:pPr>
      <w:r>
        <w:rPr>
          <w:rFonts w:hint="eastAsia"/>
          <w:b/>
          <w:bCs/>
          <w:lang w:val="en-US" w:eastAsia="zh-CN"/>
        </w:rPr>
        <w:t>Proposal 4</w:t>
      </w:r>
      <w:r>
        <w:rPr>
          <w:rFonts w:hint="eastAsia"/>
          <w:lang w:val="en-US" w:eastAsia="zh-CN"/>
        </w:rPr>
        <w:t>: Propose to consider the simulation assumption as captured in section 2.2 to conduct the coexistence study in Rel-20.</w:t>
      </w:r>
    </w:p>
    <w:p w14:paraId="4F5867B4">
      <w:pPr>
        <w:pStyle w:val="58"/>
        <w:tabs>
          <w:tab w:val="left" w:pos="567"/>
          <w:tab w:val="clear" w:pos="1985"/>
        </w:tabs>
        <w:adjustRightInd w:val="0"/>
        <w:ind w:left="510" w:hanging="510"/>
      </w:pPr>
      <w:r>
        <w:t>References</w:t>
      </w:r>
    </w:p>
    <w:p w14:paraId="0C13DB9F">
      <w:pPr>
        <w:pStyle w:val="56"/>
        <w:numPr>
          <w:ilvl w:val="0"/>
          <w:numId w:val="4"/>
        </w:numPr>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14:paraId="1CDC9427">
      <w:pPr>
        <w:tabs>
          <w:tab w:val="left" w:pos="420"/>
        </w:tabs>
        <w:spacing w:before="100" w:beforeAutospacing="1" w:after="240" w:afterLines="100"/>
        <w:outlineLvl w:val="1"/>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ED67364"/>
    <w:multiLevelType w:val="singleLevel"/>
    <w:tmpl w:val="0ED67364"/>
    <w:lvl w:ilvl="0" w:tentative="0">
      <w:start w:val="1"/>
      <w:numFmt w:val="upperLetter"/>
      <w:suff w:val="nothing"/>
      <w:lvlText w:val="%1-"/>
      <w:lvlJc w:val="left"/>
    </w:lvl>
  </w:abstractNum>
  <w:abstractNum w:abstractNumId="2">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823DD"/>
    <w:rsid w:val="012A6A7A"/>
    <w:rsid w:val="012B6D59"/>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7E0CD4"/>
    <w:rsid w:val="018032B7"/>
    <w:rsid w:val="018067FB"/>
    <w:rsid w:val="01821D8F"/>
    <w:rsid w:val="01864D3B"/>
    <w:rsid w:val="018C1643"/>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94498"/>
    <w:rsid w:val="01BE34DB"/>
    <w:rsid w:val="01BE6ACE"/>
    <w:rsid w:val="01BE7323"/>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967F0"/>
    <w:rsid w:val="020F4070"/>
    <w:rsid w:val="021042F2"/>
    <w:rsid w:val="0214117B"/>
    <w:rsid w:val="021653B1"/>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87777"/>
    <w:rsid w:val="025C0F66"/>
    <w:rsid w:val="0262197E"/>
    <w:rsid w:val="026D13E1"/>
    <w:rsid w:val="026F4733"/>
    <w:rsid w:val="02702D13"/>
    <w:rsid w:val="027035EC"/>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929C0"/>
    <w:rsid w:val="02EB4148"/>
    <w:rsid w:val="02F45E67"/>
    <w:rsid w:val="02F573DC"/>
    <w:rsid w:val="02F95CD1"/>
    <w:rsid w:val="02FF1F3E"/>
    <w:rsid w:val="030005FD"/>
    <w:rsid w:val="03001C79"/>
    <w:rsid w:val="030150CB"/>
    <w:rsid w:val="030313BA"/>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51217"/>
    <w:rsid w:val="036839EA"/>
    <w:rsid w:val="03687ADD"/>
    <w:rsid w:val="03696DA6"/>
    <w:rsid w:val="036A231E"/>
    <w:rsid w:val="03774924"/>
    <w:rsid w:val="037F60EF"/>
    <w:rsid w:val="03822F79"/>
    <w:rsid w:val="03854DBA"/>
    <w:rsid w:val="038B3715"/>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32BD3"/>
    <w:rsid w:val="03D42E2E"/>
    <w:rsid w:val="03D4427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32329F"/>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B40DC"/>
    <w:rsid w:val="04A128B3"/>
    <w:rsid w:val="04A3117E"/>
    <w:rsid w:val="04A85FC7"/>
    <w:rsid w:val="04AB7443"/>
    <w:rsid w:val="04BC3AE3"/>
    <w:rsid w:val="04C6655F"/>
    <w:rsid w:val="04CA5923"/>
    <w:rsid w:val="04CD2C67"/>
    <w:rsid w:val="04D66461"/>
    <w:rsid w:val="04D95F6F"/>
    <w:rsid w:val="04DC01EC"/>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34531"/>
    <w:rsid w:val="05784E56"/>
    <w:rsid w:val="057C7AAB"/>
    <w:rsid w:val="057F0408"/>
    <w:rsid w:val="05804262"/>
    <w:rsid w:val="05816D10"/>
    <w:rsid w:val="058E6ED4"/>
    <w:rsid w:val="05930F73"/>
    <w:rsid w:val="05940F3F"/>
    <w:rsid w:val="05991C8F"/>
    <w:rsid w:val="059B2A00"/>
    <w:rsid w:val="059E152E"/>
    <w:rsid w:val="059F1811"/>
    <w:rsid w:val="05A07D47"/>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24518"/>
    <w:rsid w:val="0646400E"/>
    <w:rsid w:val="06474EFD"/>
    <w:rsid w:val="064767A0"/>
    <w:rsid w:val="06493A8C"/>
    <w:rsid w:val="064957C2"/>
    <w:rsid w:val="064A35EA"/>
    <w:rsid w:val="064B521E"/>
    <w:rsid w:val="064C2727"/>
    <w:rsid w:val="065740AF"/>
    <w:rsid w:val="065A56A2"/>
    <w:rsid w:val="065E4C7F"/>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9B7C33"/>
    <w:rsid w:val="06A22FF5"/>
    <w:rsid w:val="06A32A23"/>
    <w:rsid w:val="06A55EB9"/>
    <w:rsid w:val="06A72A7B"/>
    <w:rsid w:val="06AE0568"/>
    <w:rsid w:val="06AF116F"/>
    <w:rsid w:val="06B338B5"/>
    <w:rsid w:val="06B506C7"/>
    <w:rsid w:val="06B548E2"/>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F6236"/>
    <w:rsid w:val="06F30672"/>
    <w:rsid w:val="06F35A7A"/>
    <w:rsid w:val="06F35AB6"/>
    <w:rsid w:val="06F66B05"/>
    <w:rsid w:val="0702074E"/>
    <w:rsid w:val="0708086F"/>
    <w:rsid w:val="07083091"/>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4D45"/>
    <w:rsid w:val="07420D70"/>
    <w:rsid w:val="07436058"/>
    <w:rsid w:val="074E566F"/>
    <w:rsid w:val="074F3DF9"/>
    <w:rsid w:val="07511A9D"/>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B7D90"/>
    <w:rsid w:val="07BE51B2"/>
    <w:rsid w:val="07BF6455"/>
    <w:rsid w:val="07C126DC"/>
    <w:rsid w:val="07C338E5"/>
    <w:rsid w:val="07CA4016"/>
    <w:rsid w:val="07CF228A"/>
    <w:rsid w:val="07D34041"/>
    <w:rsid w:val="07D54951"/>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42BDF"/>
    <w:rsid w:val="089852F1"/>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56C55"/>
    <w:rsid w:val="08C83275"/>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1407D"/>
    <w:rsid w:val="09F21427"/>
    <w:rsid w:val="09F22A67"/>
    <w:rsid w:val="0A0623AC"/>
    <w:rsid w:val="0A093274"/>
    <w:rsid w:val="0A0E6073"/>
    <w:rsid w:val="0A110938"/>
    <w:rsid w:val="0A1221A9"/>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A0D5D"/>
    <w:rsid w:val="0A3E5E40"/>
    <w:rsid w:val="0A446B70"/>
    <w:rsid w:val="0A4758B8"/>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621F2"/>
    <w:rsid w:val="0A8A7513"/>
    <w:rsid w:val="0A8C711B"/>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A55D8"/>
    <w:rsid w:val="0AC23AEF"/>
    <w:rsid w:val="0AC97464"/>
    <w:rsid w:val="0ACD4245"/>
    <w:rsid w:val="0AD007F3"/>
    <w:rsid w:val="0AD42848"/>
    <w:rsid w:val="0AD50ED3"/>
    <w:rsid w:val="0AD57FD6"/>
    <w:rsid w:val="0AD84FAB"/>
    <w:rsid w:val="0ADC4619"/>
    <w:rsid w:val="0ADD7B55"/>
    <w:rsid w:val="0AE00E26"/>
    <w:rsid w:val="0AE70A68"/>
    <w:rsid w:val="0AE95411"/>
    <w:rsid w:val="0AF242DA"/>
    <w:rsid w:val="0AF3491F"/>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3D5489"/>
    <w:rsid w:val="0B3F2432"/>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E2C21"/>
    <w:rsid w:val="0BD21910"/>
    <w:rsid w:val="0BD62EBC"/>
    <w:rsid w:val="0BDA3782"/>
    <w:rsid w:val="0BDB5584"/>
    <w:rsid w:val="0BDE0CED"/>
    <w:rsid w:val="0BE0026A"/>
    <w:rsid w:val="0BE03DAA"/>
    <w:rsid w:val="0BE17727"/>
    <w:rsid w:val="0BEC55E4"/>
    <w:rsid w:val="0BF427F9"/>
    <w:rsid w:val="0BF614B9"/>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C0AB0"/>
    <w:rsid w:val="0C4072B2"/>
    <w:rsid w:val="0C41302A"/>
    <w:rsid w:val="0C416898"/>
    <w:rsid w:val="0C455380"/>
    <w:rsid w:val="0C4A1EDF"/>
    <w:rsid w:val="0C517DA1"/>
    <w:rsid w:val="0C52301A"/>
    <w:rsid w:val="0C536E96"/>
    <w:rsid w:val="0C573449"/>
    <w:rsid w:val="0C576E02"/>
    <w:rsid w:val="0C5D74AF"/>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648E3"/>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80C38"/>
    <w:rsid w:val="0DC91529"/>
    <w:rsid w:val="0DCE36F3"/>
    <w:rsid w:val="0DCF7F93"/>
    <w:rsid w:val="0DD611B6"/>
    <w:rsid w:val="0DD621E4"/>
    <w:rsid w:val="0DD65208"/>
    <w:rsid w:val="0DD933E8"/>
    <w:rsid w:val="0DDD2372"/>
    <w:rsid w:val="0DDE1317"/>
    <w:rsid w:val="0DE5072E"/>
    <w:rsid w:val="0DE55D4A"/>
    <w:rsid w:val="0DEB14A0"/>
    <w:rsid w:val="0DEE77C3"/>
    <w:rsid w:val="0DF0225F"/>
    <w:rsid w:val="0DF20A80"/>
    <w:rsid w:val="0DF21B12"/>
    <w:rsid w:val="0DF367C2"/>
    <w:rsid w:val="0DFC48AF"/>
    <w:rsid w:val="0DFF2594"/>
    <w:rsid w:val="0E0313B1"/>
    <w:rsid w:val="0E043FF3"/>
    <w:rsid w:val="0E062A96"/>
    <w:rsid w:val="0E0D1A47"/>
    <w:rsid w:val="0E176FCD"/>
    <w:rsid w:val="0E193FCB"/>
    <w:rsid w:val="0E1C0C6C"/>
    <w:rsid w:val="0E2134C9"/>
    <w:rsid w:val="0E232F90"/>
    <w:rsid w:val="0E281319"/>
    <w:rsid w:val="0E2F5830"/>
    <w:rsid w:val="0E3217E8"/>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94FFB"/>
    <w:rsid w:val="0E9438E5"/>
    <w:rsid w:val="0E9A17E3"/>
    <w:rsid w:val="0E9D6C3E"/>
    <w:rsid w:val="0EA00229"/>
    <w:rsid w:val="0EA0380F"/>
    <w:rsid w:val="0EA11114"/>
    <w:rsid w:val="0EA35AC0"/>
    <w:rsid w:val="0EAA30A8"/>
    <w:rsid w:val="0EAB4236"/>
    <w:rsid w:val="0EB11C1A"/>
    <w:rsid w:val="0EB34961"/>
    <w:rsid w:val="0EB87DB3"/>
    <w:rsid w:val="0EB9447E"/>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AE4E7B"/>
    <w:rsid w:val="0FB261C9"/>
    <w:rsid w:val="0FB31343"/>
    <w:rsid w:val="0FB714C3"/>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24534"/>
    <w:rsid w:val="0FF46D31"/>
    <w:rsid w:val="0FF51083"/>
    <w:rsid w:val="100319B1"/>
    <w:rsid w:val="10036C5E"/>
    <w:rsid w:val="10045EE6"/>
    <w:rsid w:val="10066A65"/>
    <w:rsid w:val="10071FE5"/>
    <w:rsid w:val="100C1580"/>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C760C"/>
    <w:rsid w:val="10B4235C"/>
    <w:rsid w:val="10B4685A"/>
    <w:rsid w:val="10B7486E"/>
    <w:rsid w:val="10B84B6F"/>
    <w:rsid w:val="10BD429D"/>
    <w:rsid w:val="10BF7B6B"/>
    <w:rsid w:val="10C2052B"/>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D25D5"/>
    <w:rsid w:val="11703DE0"/>
    <w:rsid w:val="117338ED"/>
    <w:rsid w:val="117561EB"/>
    <w:rsid w:val="11775899"/>
    <w:rsid w:val="11781FEE"/>
    <w:rsid w:val="117824F0"/>
    <w:rsid w:val="117C6AEB"/>
    <w:rsid w:val="117D2D56"/>
    <w:rsid w:val="117E2370"/>
    <w:rsid w:val="117F2E3D"/>
    <w:rsid w:val="11800455"/>
    <w:rsid w:val="11823EC9"/>
    <w:rsid w:val="11847341"/>
    <w:rsid w:val="118778A0"/>
    <w:rsid w:val="118F5855"/>
    <w:rsid w:val="118F5D6B"/>
    <w:rsid w:val="119375C4"/>
    <w:rsid w:val="11996649"/>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217B01"/>
    <w:rsid w:val="13253FC4"/>
    <w:rsid w:val="132625C2"/>
    <w:rsid w:val="132A7435"/>
    <w:rsid w:val="13322AD3"/>
    <w:rsid w:val="1338211D"/>
    <w:rsid w:val="133B5756"/>
    <w:rsid w:val="134904A6"/>
    <w:rsid w:val="134D334B"/>
    <w:rsid w:val="1357258A"/>
    <w:rsid w:val="135845C3"/>
    <w:rsid w:val="135F5E4E"/>
    <w:rsid w:val="136441CE"/>
    <w:rsid w:val="136A730B"/>
    <w:rsid w:val="1377654A"/>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64C8E"/>
    <w:rsid w:val="141B08A6"/>
    <w:rsid w:val="14220CA7"/>
    <w:rsid w:val="14223598"/>
    <w:rsid w:val="142E6CAD"/>
    <w:rsid w:val="143802F8"/>
    <w:rsid w:val="144442DA"/>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C6500"/>
    <w:rsid w:val="152E6293"/>
    <w:rsid w:val="15314A87"/>
    <w:rsid w:val="15325A1E"/>
    <w:rsid w:val="153B59AE"/>
    <w:rsid w:val="153D03B9"/>
    <w:rsid w:val="1542012A"/>
    <w:rsid w:val="15422ACA"/>
    <w:rsid w:val="1547021C"/>
    <w:rsid w:val="154A777B"/>
    <w:rsid w:val="154D4A84"/>
    <w:rsid w:val="155424D6"/>
    <w:rsid w:val="155605E9"/>
    <w:rsid w:val="155B1745"/>
    <w:rsid w:val="155E69FB"/>
    <w:rsid w:val="155F651D"/>
    <w:rsid w:val="15655F19"/>
    <w:rsid w:val="156870BF"/>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511E0"/>
    <w:rsid w:val="165C118C"/>
    <w:rsid w:val="165C4863"/>
    <w:rsid w:val="165F5560"/>
    <w:rsid w:val="1663476A"/>
    <w:rsid w:val="1668027A"/>
    <w:rsid w:val="16697DBA"/>
    <w:rsid w:val="166C0D1B"/>
    <w:rsid w:val="166E1C29"/>
    <w:rsid w:val="16727B66"/>
    <w:rsid w:val="167344C7"/>
    <w:rsid w:val="16734728"/>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6124E"/>
    <w:rsid w:val="16E66CA8"/>
    <w:rsid w:val="16E7220A"/>
    <w:rsid w:val="16F41D35"/>
    <w:rsid w:val="16F7773E"/>
    <w:rsid w:val="16F94056"/>
    <w:rsid w:val="16FD7F89"/>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97C4D"/>
    <w:rsid w:val="183E4121"/>
    <w:rsid w:val="183F3DA9"/>
    <w:rsid w:val="184068C1"/>
    <w:rsid w:val="18420253"/>
    <w:rsid w:val="184620F4"/>
    <w:rsid w:val="1848540C"/>
    <w:rsid w:val="18524B4C"/>
    <w:rsid w:val="18533B98"/>
    <w:rsid w:val="185546D2"/>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9194D"/>
    <w:rsid w:val="19894C83"/>
    <w:rsid w:val="198C2500"/>
    <w:rsid w:val="198C5D06"/>
    <w:rsid w:val="199453F6"/>
    <w:rsid w:val="199649B5"/>
    <w:rsid w:val="19A60971"/>
    <w:rsid w:val="19A60D37"/>
    <w:rsid w:val="19A7296F"/>
    <w:rsid w:val="19A90B8D"/>
    <w:rsid w:val="19AF232D"/>
    <w:rsid w:val="19B51F4A"/>
    <w:rsid w:val="19B66E06"/>
    <w:rsid w:val="19B94DE5"/>
    <w:rsid w:val="19BB7983"/>
    <w:rsid w:val="19CA4702"/>
    <w:rsid w:val="19CD0ABC"/>
    <w:rsid w:val="19D01D27"/>
    <w:rsid w:val="19D2505F"/>
    <w:rsid w:val="19D76F77"/>
    <w:rsid w:val="19DC3901"/>
    <w:rsid w:val="19DE0A03"/>
    <w:rsid w:val="19DE7440"/>
    <w:rsid w:val="19E45BB3"/>
    <w:rsid w:val="19E716B5"/>
    <w:rsid w:val="19E85593"/>
    <w:rsid w:val="19ED386F"/>
    <w:rsid w:val="19F81ABA"/>
    <w:rsid w:val="19F90091"/>
    <w:rsid w:val="19F91F18"/>
    <w:rsid w:val="19FF1298"/>
    <w:rsid w:val="1A012F98"/>
    <w:rsid w:val="1A03072C"/>
    <w:rsid w:val="1A044015"/>
    <w:rsid w:val="1A045B87"/>
    <w:rsid w:val="1A07723F"/>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26EC3"/>
    <w:rsid w:val="1C7827E1"/>
    <w:rsid w:val="1C793EB9"/>
    <w:rsid w:val="1C7B65E1"/>
    <w:rsid w:val="1C7F5BD5"/>
    <w:rsid w:val="1C807142"/>
    <w:rsid w:val="1C8256C5"/>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9310E"/>
    <w:rsid w:val="1DEA1774"/>
    <w:rsid w:val="1DEC45ED"/>
    <w:rsid w:val="1DF2745E"/>
    <w:rsid w:val="1DF71982"/>
    <w:rsid w:val="1DF8498F"/>
    <w:rsid w:val="1E02615D"/>
    <w:rsid w:val="1E087E4C"/>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853CE"/>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9415B5"/>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2649D"/>
    <w:rsid w:val="1FF73CD4"/>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C1E49"/>
    <w:rsid w:val="22680B07"/>
    <w:rsid w:val="22681A0E"/>
    <w:rsid w:val="226E20BA"/>
    <w:rsid w:val="22713317"/>
    <w:rsid w:val="22732B0F"/>
    <w:rsid w:val="227D6059"/>
    <w:rsid w:val="227F5037"/>
    <w:rsid w:val="228041D7"/>
    <w:rsid w:val="228265C7"/>
    <w:rsid w:val="228A008B"/>
    <w:rsid w:val="228A2082"/>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746AF"/>
    <w:rsid w:val="22D141D7"/>
    <w:rsid w:val="22D41540"/>
    <w:rsid w:val="22D50B4C"/>
    <w:rsid w:val="22D61781"/>
    <w:rsid w:val="22E04EF3"/>
    <w:rsid w:val="22E30977"/>
    <w:rsid w:val="22E30F99"/>
    <w:rsid w:val="22E51E43"/>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F2E75"/>
    <w:rsid w:val="25771B32"/>
    <w:rsid w:val="257B4877"/>
    <w:rsid w:val="257C1A72"/>
    <w:rsid w:val="257C2374"/>
    <w:rsid w:val="257C76CA"/>
    <w:rsid w:val="257F18B5"/>
    <w:rsid w:val="25805FF5"/>
    <w:rsid w:val="25873D4C"/>
    <w:rsid w:val="2588045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B6C64"/>
    <w:rsid w:val="25C87522"/>
    <w:rsid w:val="25C97301"/>
    <w:rsid w:val="25CC4C1C"/>
    <w:rsid w:val="25CD7961"/>
    <w:rsid w:val="25D33C43"/>
    <w:rsid w:val="25D64403"/>
    <w:rsid w:val="25D868E9"/>
    <w:rsid w:val="25DC0E91"/>
    <w:rsid w:val="25E32F35"/>
    <w:rsid w:val="25EB7CD4"/>
    <w:rsid w:val="25F04B7D"/>
    <w:rsid w:val="25F23345"/>
    <w:rsid w:val="25F51596"/>
    <w:rsid w:val="25F67042"/>
    <w:rsid w:val="260054CC"/>
    <w:rsid w:val="26071C55"/>
    <w:rsid w:val="260A55DA"/>
    <w:rsid w:val="260B04D9"/>
    <w:rsid w:val="260B255C"/>
    <w:rsid w:val="2611495B"/>
    <w:rsid w:val="2618762A"/>
    <w:rsid w:val="261A6228"/>
    <w:rsid w:val="261F7570"/>
    <w:rsid w:val="26215F4F"/>
    <w:rsid w:val="26217848"/>
    <w:rsid w:val="2625247E"/>
    <w:rsid w:val="262A4E03"/>
    <w:rsid w:val="262B2F0B"/>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5E5D3A"/>
    <w:rsid w:val="266239C5"/>
    <w:rsid w:val="26626905"/>
    <w:rsid w:val="266503EF"/>
    <w:rsid w:val="26667EB2"/>
    <w:rsid w:val="266B1FB8"/>
    <w:rsid w:val="26775B6F"/>
    <w:rsid w:val="267B7FD0"/>
    <w:rsid w:val="267E518B"/>
    <w:rsid w:val="26872779"/>
    <w:rsid w:val="26874AF8"/>
    <w:rsid w:val="2689029B"/>
    <w:rsid w:val="268B6E50"/>
    <w:rsid w:val="268F6E2C"/>
    <w:rsid w:val="269478D8"/>
    <w:rsid w:val="26993F8A"/>
    <w:rsid w:val="269B3F13"/>
    <w:rsid w:val="269C594C"/>
    <w:rsid w:val="26A17EEF"/>
    <w:rsid w:val="26A4288C"/>
    <w:rsid w:val="26A608EC"/>
    <w:rsid w:val="26A63366"/>
    <w:rsid w:val="26A968B5"/>
    <w:rsid w:val="26AC5BFD"/>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408D2"/>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1035C6"/>
    <w:rsid w:val="281178FD"/>
    <w:rsid w:val="28140E2A"/>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64B8B"/>
    <w:rsid w:val="28CE2A8C"/>
    <w:rsid w:val="28D139F1"/>
    <w:rsid w:val="28D5169B"/>
    <w:rsid w:val="28D71C91"/>
    <w:rsid w:val="28DA6C60"/>
    <w:rsid w:val="28DB0A30"/>
    <w:rsid w:val="28DD2C80"/>
    <w:rsid w:val="28E00B52"/>
    <w:rsid w:val="28E66C2D"/>
    <w:rsid w:val="28E868B0"/>
    <w:rsid w:val="28E9147E"/>
    <w:rsid w:val="28F00706"/>
    <w:rsid w:val="28F33F0D"/>
    <w:rsid w:val="28F72DB8"/>
    <w:rsid w:val="28F91877"/>
    <w:rsid w:val="28F925C2"/>
    <w:rsid w:val="28F95F71"/>
    <w:rsid w:val="28FC1141"/>
    <w:rsid w:val="28FE6A8A"/>
    <w:rsid w:val="29035F8A"/>
    <w:rsid w:val="290517ED"/>
    <w:rsid w:val="290753B9"/>
    <w:rsid w:val="291415DC"/>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6F6FD1"/>
    <w:rsid w:val="297D1A8B"/>
    <w:rsid w:val="299627B0"/>
    <w:rsid w:val="29981CF5"/>
    <w:rsid w:val="299C6B98"/>
    <w:rsid w:val="29A30A29"/>
    <w:rsid w:val="29A4634A"/>
    <w:rsid w:val="29A84DD1"/>
    <w:rsid w:val="29A95FC5"/>
    <w:rsid w:val="29A9603F"/>
    <w:rsid w:val="29AA2390"/>
    <w:rsid w:val="29B03871"/>
    <w:rsid w:val="29B23BCE"/>
    <w:rsid w:val="29B301F6"/>
    <w:rsid w:val="29B85AFC"/>
    <w:rsid w:val="29BA612B"/>
    <w:rsid w:val="29BB2535"/>
    <w:rsid w:val="29BB286D"/>
    <w:rsid w:val="29BB74AF"/>
    <w:rsid w:val="29BC2AA4"/>
    <w:rsid w:val="29BF2F72"/>
    <w:rsid w:val="29C37AC4"/>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26903"/>
    <w:rsid w:val="29F319B0"/>
    <w:rsid w:val="29F64A6B"/>
    <w:rsid w:val="29FB4537"/>
    <w:rsid w:val="29FD16CB"/>
    <w:rsid w:val="29FD3742"/>
    <w:rsid w:val="29FD638B"/>
    <w:rsid w:val="2A04596B"/>
    <w:rsid w:val="2A06427E"/>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25005"/>
    <w:rsid w:val="2A465F84"/>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B5DE7"/>
    <w:rsid w:val="2AAC36BD"/>
    <w:rsid w:val="2AB04937"/>
    <w:rsid w:val="2AB1542B"/>
    <w:rsid w:val="2AB86677"/>
    <w:rsid w:val="2ABA266F"/>
    <w:rsid w:val="2ABC2E55"/>
    <w:rsid w:val="2AC90132"/>
    <w:rsid w:val="2ACF5AEC"/>
    <w:rsid w:val="2AD62AB0"/>
    <w:rsid w:val="2ADC1447"/>
    <w:rsid w:val="2ADE1583"/>
    <w:rsid w:val="2ADF7DA7"/>
    <w:rsid w:val="2AE70523"/>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65B4A"/>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940F71"/>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AA76C2"/>
    <w:rsid w:val="2CBC4209"/>
    <w:rsid w:val="2CC12D54"/>
    <w:rsid w:val="2CC9742A"/>
    <w:rsid w:val="2CCB3003"/>
    <w:rsid w:val="2CD1179F"/>
    <w:rsid w:val="2CD17849"/>
    <w:rsid w:val="2CD47078"/>
    <w:rsid w:val="2CD77367"/>
    <w:rsid w:val="2CDA4FDA"/>
    <w:rsid w:val="2CDC7091"/>
    <w:rsid w:val="2CE128DC"/>
    <w:rsid w:val="2CE16D71"/>
    <w:rsid w:val="2CE27F26"/>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E231B"/>
    <w:rsid w:val="2D1063D5"/>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726428"/>
    <w:rsid w:val="2D770975"/>
    <w:rsid w:val="2D7A06F1"/>
    <w:rsid w:val="2D8151A4"/>
    <w:rsid w:val="2D855015"/>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86561"/>
    <w:rsid w:val="2DEA21A7"/>
    <w:rsid w:val="2DF04CFF"/>
    <w:rsid w:val="2DF6091F"/>
    <w:rsid w:val="2DF77C3F"/>
    <w:rsid w:val="2DF80479"/>
    <w:rsid w:val="2DFA6574"/>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72F10"/>
    <w:rsid w:val="2EA74B75"/>
    <w:rsid w:val="2EB61295"/>
    <w:rsid w:val="2EB711FE"/>
    <w:rsid w:val="2EB941A6"/>
    <w:rsid w:val="2EB96346"/>
    <w:rsid w:val="2EC414ED"/>
    <w:rsid w:val="2EC66378"/>
    <w:rsid w:val="2EC71A13"/>
    <w:rsid w:val="2EC722DC"/>
    <w:rsid w:val="2EC9437A"/>
    <w:rsid w:val="2ED20B55"/>
    <w:rsid w:val="2ED632EA"/>
    <w:rsid w:val="2EDC714E"/>
    <w:rsid w:val="2EE32E87"/>
    <w:rsid w:val="2EE53675"/>
    <w:rsid w:val="2EEA307E"/>
    <w:rsid w:val="2EEB70FA"/>
    <w:rsid w:val="2EEF6737"/>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015D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03ECC"/>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54430"/>
    <w:rsid w:val="30365E36"/>
    <w:rsid w:val="303B62EC"/>
    <w:rsid w:val="303F616B"/>
    <w:rsid w:val="3042736A"/>
    <w:rsid w:val="3045713F"/>
    <w:rsid w:val="30486EA7"/>
    <w:rsid w:val="304F02D9"/>
    <w:rsid w:val="30500A5C"/>
    <w:rsid w:val="305447A9"/>
    <w:rsid w:val="305F558E"/>
    <w:rsid w:val="3062163D"/>
    <w:rsid w:val="30696528"/>
    <w:rsid w:val="306B4848"/>
    <w:rsid w:val="30752E77"/>
    <w:rsid w:val="30764887"/>
    <w:rsid w:val="30766E97"/>
    <w:rsid w:val="308018A6"/>
    <w:rsid w:val="30804E19"/>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20023"/>
    <w:rsid w:val="31F31FF7"/>
    <w:rsid w:val="31F44517"/>
    <w:rsid w:val="31F52FE4"/>
    <w:rsid w:val="31F536F7"/>
    <w:rsid w:val="31F82042"/>
    <w:rsid w:val="31F91B2E"/>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92149F"/>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65EB4"/>
    <w:rsid w:val="32CF3588"/>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D4CD1"/>
    <w:rsid w:val="338E29B0"/>
    <w:rsid w:val="338F74B8"/>
    <w:rsid w:val="3390342D"/>
    <w:rsid w:val="33907648"/>
    <w:rsid w:val="33924A39"/>
    <w:rsid w:val="3397281E"/>
    <w:rsid w:val="339902E6"/>
    <w:rsid w:val="339D35FC"/>
    <w:rsid w:val="33A156DE"/>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63322"/>
    <w:rsid w:val="34885DB3"/>
    <w:rsid w:val="348F0ED3"/>
    <w:rsid w:val="348F7A0E"/>
    <w:rsid w:val="34910C12"/>
    <w:rsid w:val="34975090"/>
    <w:rsid w:val="349A0B7D"/>
    <w:rsid w:val="34A851E8"/>
    <w:rsid w:val="34A92857"/>
    <w:rsid w:val="34A94ADA"/>
    <w:rsid w:val="34A97BFE"/>
    <w:rsid w:val="34AF1A76"/>
    <w:rsid w:val="34B51A96"/>
    <w:rsid w:val="34B955A4"/>
    <w:rsid w:val="34BF1CD4"/>
    <w:rsid w:val="34C75F13"/>
    <w:rsid w:val="34C800BD"/>
    <w:rsid w:val="34C936CD"/>
    <w:rsid w:val="34CC1DC7"/>
    <w:rsid w:val="34CE1050"/>
    <w:rsid w:val="34CE2DFE"/>
    <w:rsid w:val="34D23DC3"/>
    <w:rsid w:val="34D47C8A"/>
    <w:rsid w:val="34D73340"/>
    <w:rsid w:val="34D874E5"/>
    <w:rsid w:val="34DB0CAC"/>
    <w:rsid w:val="34DD3DF9"/>
    <w:rsid w:val="34DD5737"/>
    <w:rsid w:val="34E972FC"/>
    <w:rsid w:val="34F83EF3"/>
    <w:rsid w:val="34F953E0"/>
    <w:rsid w:val="34FB3AF7"/>
    <w:rsid w:val="34FF2166"/>
    <w:rsid w:val="3503286C"/>
    <w:rsid w:val="350550F8"/>
    <w:rsid w:val="350607E9"/>
    <w:rsid w:val="350A773D"/>
    <w:rsid w:val="350B4102"/>
    <w:rsid w:val="350B69C5"/>
    <w:rsid w:val="350F2D16"/>
    <w:rsid w:val="35105552"/>
    <w:rsid w:val="351148D7"/>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226D3"/>
    <w:rsid w:val="35744059"/>
    <w:rsid w:val="35771AC2"/>
    <w:rsid w:val="357960B4"/>
    <w:rsid w:val="35796C07"/>
    <w:rsid w:val="35821CF3"/>
    <w:rsid w:val="358323BB"/>
    <w:rsid w:val="358618B0"/>
    <w:rsid w:val="358838F4"/>
    <w:rsid w:val="358856A2"/>
    <w:rsid w:val="3589285D"/>
    <w:rsid w:val="35967E5E"/>
    <w:rsid w:val="35981386"/>
    <w:rsid w:val="359C1F6C"/>
    <w:rsid w:val="359C73A0"/>
    <w:rsid w:val="35A02A2E"/>
    <w:rsid w:val="35A0338E"/>
    <w:rsid w:val="35A16611"/>
    <w:rsid w:val="35A307C3"/>
    <w:rsid w:val="35A31A0A"/>
    <w:rsid w:val="35A57D9C"/>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35F7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33692"/>
    <w:rsid w:val="37152977"/>
    <w:rsid w:val="371A5A8E"/>
    <w:rsid w:val="371B03AE"/>
    <w:rsid w:val="371E6151"/>
    <w:rsid w:val="37200042"/>
    <w:rsid w:val="37271A7B"/>
    <w:rsid w:val="37277663"/>
    <w:rsid w:val="372A07F2"/>
    <w:rsid w:val="372E0CF4"/>
    <w:rsid w:val="37307DA0"/>
    <w:rsid w:val="37342518"/>
    <w:rsid w:val="37357964"/>
    <w:rsid w:val="373757CA"/>
    <w:rsid w:val="373B5161"/>
    <w:rsid w:val="373C5F4A"/>
    <w:rsid w:val="373D6F58"/>
    <w:rsid w:val="37446333"/>
    <w:rsid w:val="37446A77"/>
    <w:rsid w:val="374D0B20"/>
    <w:rsid w:val="374E7068"/>
    <w:rsid w:val="37557969"/>
    <w:rsid w:val="375836DC"/>
    <w:rsid w:val="37584A22"/>
    <w:rsid w:val="375D4473"/>
    <w:rsid w:val="37615F3C"/>
    <w:rsid w:val="37626C32"/>
    <w:rsid w:val="37663E25"/>
    <w:rsid w:val="376B106B"/>
    <w:rsid w:val="37725592"/>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90DD6"/>
    <w:rsid w:val="38591578"/>
    <w:rsid w:val="385F47DB"/>
    <w:rsid w:val="386777DB"/>
    <w:rsid w:val="38693A96"/>
    <w:rsid w:val="386A1921"/>
    <w:rsid w:val="386B38FB"/>
    <w:rsid w:val="38747711"/>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61C5A"/>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F7CCF"/>
    <w:rsid w:val="38E11AA1"/>
    <w:rsid w:val="38E147DC"/>
    <w:rsid w:val="38E45926"/>
    <w:rsid w:val="38E46191"/>
    <w:rsid w:val="38E52E0C"/>
    <w:rsid w:val="38E84102"/>
    <w:rsid w:val="38EB7945"/>
    <w:rsid w:val="38EC260C"/>
    <w:rsid w:val="38EF0DB7"/>
    <w:rsid w:val="38F50C85"/>
    <w:rsid w:val="38FB43DD"/>
    <w:rsid w:val="38FC020D"/>
    <w:rsid w:val="38FC711E"/>
    <w:rsid w:val="390365D8"/>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C3157"/>
    <w:rsid w:val="395D360D"/>
    <w:rsid w:val="39676A41"/>
    <w:rsid w:val="39686D44"/>
    <w:rsid w:val="39695DEF"/>
    <w:rsid w:val="3973175F"/>
    <w:rsid w:val="39762B94"/>
    <w:rsid w:val="397E700C"/>
    <w:rsid w:val="39834074"/>
    <w:rsid w:val="3986639D"/>
    <w:rsid w:val="39885108"/>
    <w:rsid w:val="398A2308"/>
    <w:rsid w:val="39907940"/>
    <w:rsid w:val="399602F5"/>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61688"/>
    <w:rsid w:val="3A543180"/>
    <w:rsid w:val="3A5A5133"/>
    <w:rsid w:val="3A5C5448"/>
    <w:rsid w:val="3A616CAD"/>
    <w:rsid w:val="3A711C68"/>
    <w:rsid w:val="3A760ADE"/>
    <w:rsid w:val="3A7876F9"/>
    <w:rsid w:val="3A7927E8"/>
    <w:rsid w:val="3A796E46"/>
    <w:rsid w:val="3A7C159F"/>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4402BD"/>
    <w:rsid w:val="3B456D7F"/>
    <w:rsid w:val="3B51113B"/>
    <w:rsid w:val="3B517555"/>
    <w:rsid w:val="3B553600"/>
    <w:rsid w:val="3B563186"/>
    <w:rsid w:val="3B59658D"/>
    <w:rsid w:val="3B5E261D"/>
    <w:rsid w:val="3B5F14B4"/>
    <w:rsid w:val="3B616FBE"/>
    <w:rsid w:val="3B683A4D"/>
    <w:rsid w:val="3B6A3CF4"/>
    <w:rsid w:val="3B6D5AE8"/>
    <w:rsid w:val="3B6F5B73"/>
    <w:rsid w:val="3B70725E"/>
    <w:rsid w:val="3B7236B3"/>
    <w:rsid w:val="3B7B1D0B"/>
    <w:rsid w:val="3B850B78"/>
    <w:rsid w:val="3B86470F"/>
    <w:rsid w:val="3B873119"/>
    <w:rsid w:val="3B9257F6"/>
    <w:rsid w:val="3B9A4A30"/>
    <w:rsid w:val="3B9C2663"/>
    <w:rsid w:val="3B9C285E"/>
    <w:rsid w:val="3BA17E84"/>
    <w:rsid w:val="3BA35FC1"/>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915B7E"/>
    <w:rsid w:val="3C926E07"/>
    <w:rsid w:val="3C971009"/>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8163A"/>
    <w:rsid w:val="3D590DF9"/>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F1BB7"/>
    <w:rsid w:val="3E817D90"/>
    <w:rsid w:val="3E836D6C"/>
    <w:rsid w:val="3E837966"/>
    <w:rsid w:val="3E844725"/>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57FAE"/>
    <w:rsid w:val="3F5A4F9D"/>
    <w:rsid w:val="3F5D4311"/>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9D61EE"/>
    <w:rsid w:val="3F9F1F6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72DA6"/>
    <w:rsid w:val="405A424E"/>
    <w:rsid w:val="406D461C"/>
    <w:rsid w:val="406F7D87"/>
    <w:rsid w:val="407441CC"/>
    <w:rsid w:val="40786FBC"/>
    <w:rsid w:val="407A5C67"/>
    <w:rsid w:val="407B4FD0"/>
    <w:rsid w:val="40801F54"/>
    <w:rsid w:val="40825FDB"/>
    <w:rsid w:val="40836EAD"/>
    <w:rsid w:val="408F37F6"/>
    <w:rsid w:val="408F7272"/>
    <w:rsid w:val="40907287"/>
    <w:rsid w:val="409238F2"/>
    <w:rsid w:val="409273D5"/>
    <w:rsid w:val="40930EBC"/>
    <w:rsid w:val="40953EC0"/>
    <w:rsid w:val="409D027A"/>
    <w:rsid w:val="409F75BB"/>
    <w:rsid w:val="40A84A75"/>
    <w:rsid w:val="40AB3054"/>
    <w:rsid w:val="40AE78C1"/>
    <w:rsid w:val="40AE7F87"/>
    <w:rsid w:val="40AF2B72"/>
    <w:rsid w:val="40B3559D"/>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A38BC"/>
    <w:rsid w:val="40FE1447"/>
    <w:rsid w:val="40FE2CBD"/>
    <w:rsid w:val="41053DED"/>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B3ECC"/>
    <w:rsid w:val="41DC5EDF"/>
    <w:rsid w:val="41DD05DE"/>
    <w:rsid w:val="41E4117E"/>
    <w:rsid w:val="41E41803"/>
    <w:rsid w:val="41E466BF"/>
    <w:rsid w:val="41E52CA5"/>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2370F9"/>
    <w:rsid w:val="42294221"/>
    <w:rsid w:val="422C32BD"/>
    <w:rsid w:val="422E207E"/>
    <w:rsid w:val="4230121C"/>
    <w:rsid w:val="423038F8"/>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27D1A"/>
    <w:rsid w:val="42C5796D"/>
    <w:rsid w:val="42CF43AB"/>
    <w:rsid w:val="42D02E55"/>
    <w:rsid w:val="42D216FF"/>
    <w:rsid w:val="42D420EA"/>
    <w:rsid w:val="42D67001"/>
    <w:rsid w:val="42DC0DDB"/>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D6585"/>
    <w:rsid w:val="438042AD"/>
    <w:rsid w:val="43837C39"/>
    <w:rsid w:val="43853F53"/>
    <w:rsid w:val="438B6310"/>
    <w:rsid w:val="438E6338"/>
    <w:rsid w:val="439322F0"/>
    <w:rsid w:val="43964600"/>
    <w:rsid w:val="4397231A"/>
    <w:rsid w:val="439C3431"/>
    <w:rsid w:val="439D0E7C"/>
    <w:rsid w:val="43A26A83"/>
    <w:rsid w:val="43A41643"/>
    <w:rsid w:val="43A43371"/>
    <w:rsid w:val="43A466FD"/>
    <w:rsid w:val="43A538C3"/>
    <w:rsid w:val="43AA0A5D"/>
    <w:rsid w:val="43B329A6"/>
    <w:rsid w:val="43B70399"/>
    <w:rsid w:val="43BB3579"/>
    <w:rsid w:val="43C0281C"/>
    <w:rsid w:val="43C02B26"/>
    <w:rsid w:val="43C615A1"/>
    <w:rsid w:val="43C91C5B"/>
    <w:rsid w:val="43D10A40"/>
    <w:rsid w:val="43D34EA2"/>
    <w:rsid w:val="43D67A91"/>
    <w:rsid w:val="43DB12BC"/>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85EA2"/>
    <w:rsid w:val="45D251D8"/>
    <w:rsid w:val="45D9022E"/>
    <w:rsid w:val="45E11BAF"/>
    <w:rsid w:val="45E3021B"/>
    <w:rsid w:val="45E37678"/>
    <w:rsid w:val="45E526A6"/>
    <w:rsid w:val="45E56E31"/>
    <w:rsid w:val="45E66893"/>
    <w:rsid w:val="45E826B2"/>
    <w:rsid w:val="45EC3A2B"/>
    <w:rsid w:val="45EE016D"/>
    <w:rsid w:val="45F4334C"/>
    <w:rsid w:val="45F91CA4"/>
    <w:rsid w:val="460D3781"/>
    <w:rsid w:val="460D5750"/>
    <w:rsid w:val="461B7F64"/>
    <w:rsid w:val="461F1ADE"/>
    <w:rsid w:val="461F36FD"/>
    <w:rsid w:val="462D4B2D"/>
    <w:rsid w:val="462E4FF5"/>
    <w:rsid w:val="462F3918"/>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41D45"/>
    <w:rsid w:val="4929748F"/>
    <w:rsid w:val="492F1F4E"/>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25C6E"/>
    <w:rsid w:val="4A2322DF"/>
    <w:rsid w:val="4A293841"/>
    <w:rsid w:val="4A2D3660"/>
    <w:rsid w:val="4A2E7749"/>
    <w:rsid w:val="4A314103"/>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44F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705844"/>
    <w:rsid w:val="4B7224D0"/>
    <w:rsid w:val="4B731C20"/>
    <w:rsid w:val="4B774607"/>
    <w:rsid w:val="4B792A38"/>
    <w:rsid w:val="4B7A3C96"/>
    <w:rsid w:val="4B7D4F5D"/>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6C2D"/>
    <w:rsid w:val="4BE17463"/>
    <w:rsid w:val="4BE57E16"/>
    <w:rsid w:val="4BE819D0"/>
    <w:rsid w:val="4BE8649D"/>
    <w:rsid w:val="4BEE178C"/>
    <w:rsid w:val="4BFB669C"/>
    <w:rsid w:val="4BFC6FFD"/>
    <w:rsid w:val="4C001A94"/>
    <w:rsid w:val="4C0107B1"/>
    <w:rsid w:val="4C0236B4"/>
    <w:rsid w:val="4C0B2731"/>
    <w:rsid w:val="4C0C091F"/>
    <w:rsid w:val="4C0E6780"/>
    <w:rsid w:val="4C1321BA"/>
    <w:rsid w:val="4C145CE0"/>
    <w:rsid w:val="4C16297D"/>
    <w:rsid w:val="4C170C9D"/>
    <w:rsid w:val="4C186D56"/>
    <w:rsid w:val="4C192F75"/>
    <w:rsid w:val="4C1C0BD6"/>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701C3"/>
    <w:rsid w:val="4CBB546E"/>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60345"/>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D1740"/>
    <w:rsid w:val="4E6E70BD"/>
    <w:rsid w:val="4E7125DA"/>
    <w:rsid w:val="4E720846"/>
    <w:rsid w:val="4E733F49"/>
    <w:rsid w:val="4E792618"/>
    <w:rsid w:val="4E795FE9"/>
    <w:rsid w:val="4E797F06"/>
    <w:rsid w:val="4E8D3751"/>
    <w:rsid w:val="4E8D41BC"/>
    <w:rsid w:val="4E904370"/>
    <w:rsid w:val="4E937457"/>
    <w:rsid w:val="4E937763"/>
    <w:rsid w:val="4E975A56"/>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55F27"/>
    <w:rsid w:val="4F16131E"/>
    <w:rsid w:val="4F166C4D"/>
    <w:rsid w:val="4F181305"/>
    <w:rsid w:val="4F1A238F"/>
    <w:rsid w:val="4F1D1400"/>
    <w:rsid w:val="4F1D1653"/>
    <w:rsid w:val="4F2C365D"/>
    <w:rsid w:val="4F2C6C47"/>
    <w:rsid w:val="4F36758C"/>
    <w:rsid w:val="4F376D93"/>
    <w:rsid w:val="4F3957DF"/>
    <w:rsid w:val="4F3D36F1"/>
    <w:rsid w:val="4F3D4163"/>
    <w:rsid w:val="4F42290E"/>
    <w:rsid w:val="4F473291"/>
    <w:rsid w:val="4F4C1097"/>
    <w:rsid w:val="4F50208E"/>
    <w:rsid w:val="4F560A53"/>
    <w:rsid w:val="4F5D25C0"/>
    <w:rsid w:val="4F611147"/>
    <w:rsid w:val="4F6E6F86"/>
    <w:rsid w:val="4F702FD7"/>
    <w:rsid w:val="4F7278C6"/>
    <w:rsid w:val="4F764CC2"/>
    <w:rsid w:val="4F7C5E20"/>
    <w:rsid w:val="4F823D55"/>
    <w:rsid w:val="4F85034E"/>
    <w:rsid w:val="4F8B16E7"/>
    <w:rsid w:val="4F9000F4"/>
    <w:rsid w:val="4F941E5B"/>
    <w:rsid w:val="4F983E33"/>
    <w:rsid w:val="4F9B5328"/>
    <w:rsid w:val="4FA26F09"/>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94450"/>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A64E3"/>
    <w:rsid w:val="515C30A6"/>
    <w:rsid w:val="5161698E"/>
    <w:rsid w:val="5163574F"/>
    <w:rsid w:val="51651617"/>
    <w:rsid w:val="5179450A"/>
    <w:rsid w:val="51797588"/>
    <w:rsid w:val="517C0CA0"/>
    <w:rsid w:val="517D17DB"/>
    <w:rsid w:val="517D376B"/>
    <w:rsid w:val="517F00BC"/>
    <w:rsid w:val="517F39A6"/>
    <w:rsid w:val="51861BC2"/>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D37598"/>
    <w:rsid w:val="51D42177"/>
    <w:rsid w:val="51D43598"/>
    <w:rsid w:val="51DA51E8"/>
    <w:rsid w:val="51DA5890"/>
    <w:rsid w:val="51E31C77"/>
    <w:rsid w:val="51E90CD5"/>
    <w:rsid w:val="51EE7B3E"/>
    <w:rsid w:val="51F51BD1"/>
    <w:rsid w:val="51F62D3E"/>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0F6FAB"/>
    <w:rsid w:val="53112C1D"/>
    <w:rsid w:val="531241BA"/>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F7573"/>
    <w:rsid w:val="5370597D"/>
    <w:rsid w:val="53763151"/>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92049"/>
    <w:rsid w:val="544E0EE8"/>
    <w:rsid w:val="54525BFB"/>
    <w:rsid w:val="5452765B"/>
    <w:rsid w:val="54550067"/>
    <w:rsid w:val="54580F5A"/>
    <w:rsid w:val="545D3E4A"/>
    <w:rsid w:val="54757648"/>
    <w:rsid w:val="54767AC1"/>
    <w:rsid w:val="5478695B"/>
    <w:rsid w:val="54860559"/>
    <w:rsid w:val="548810E8"/>
    <w:rsid w:val="54895C16"/>
    <w:rsid w:val="54906088"/>
    <w:rsid w:val="54907EF0"/>
    <w:rsid w:val="549438A5"/>
    <w:rsid w:val="549C64AD"/>
    <w:rsid w:val="549C6534"/>
    <w:rsid w:val="54A14490"/>
    <w:rsid w:val="54A153FA"/>
    <w:rsid w:val="54A36C2B"/>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6726"/>
    <w:rsid w:val="54D91225"/>
    <w:rsid w:val="54DD775A"/>
    <w:rsid w:val="54DF688B"/>
    <w:rsid w:val="54E85E2E"/>
    <w:rsid w:val="54E90592"/>
    <w:rsid w:val="54E95643"/>
    <w:rsid w:val="54FE72D7"/>
    <w:rsid w:val="54FF02B0"/>
    <w:rsid w:val="55092196"/>
    <w:rsid w:val="550E6C32"/>
    <w:rsid w:val="550F6DEF"/>
    <w:rsid w:val="551C2E90"/>
    <w:rsid w:val="552D52C7"/>
    <w:rsid w:val="55305298"/>
    <w:rsid w:val="553343DC"/>
    <w:rsid w:val="55397CF2"/>
    <w:rsid w:val="5546565D"/>
    <w:rsid w:val="554E0863"/>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9D089E"/>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1036D3"/>
    <w:rsid w:val="561B57AD"/>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80ED4"/>
    <w:rsid w:val="57783371"/>
    <w:rsid w:val="577E3A90"/>
    <w:rsid w:val="57886A0D"/>
    <w:rsid w:val="57896321"/>
    <w:rsid w:val="578B78A1"/>
    <w:rsid w:val="57903D73"/>
    <w:rsid w:val="57914433"/>
    <w:rsid w:val="57917F8F"/>
    <w:rsid w:val="57955219"/>
    <w:rsid w:val="579A7C07"/>
    <w:rsid w:val="579F309F"/>
    <w:rsid w:val="57A46FEE"/>
    <w:rsid w:val="57AA2DFF"/>
    <w:rsid w:val="57AA5A5F"/>
    <w:rsid w:val="57AF7168"/>
    <w:rsid w:val="57B02763"/>
    <w:rsid w:val="57B6547E"/>
    <w:rsid w:val="57BC7C9C"/>
    <w:rsid w:val="57BE4E98"/>
    <w:rsid w:val="57BF6387"/>
    <w:rsid w:val="57C06475"/>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36385"/>
    <w:rsid w:val="58D720A4"/>
    <w:rsid w:val="58DB456A"/>
    <w:rsid w:val="58DF596A"/>
    <w:rsid w:val="58E14F7F"/>
    <w:rsid w:val="58E56245"/>
    <w:rsid w:val="58E909DD"/>
    <w:rsid w:val="58EB1C90"/>
    <w:rsid w:val="58EE536D"/>
    <w:rsid w:val="58F5707F"/>
    <w:rsid w:val="58F57D12"/>
    <w:rsid w:val="58FA7DB6"/>
    <w:rsid w:val="59011144"/>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8580F"/>
    <w:rsid w:val="5AF341EB"/>
    <w:rsid w:val="5AF405C5"/>
    <w:rsid w:val="5AF82FCA"/>
    <w:rsid w:val="5AF8657A"/>
    <w:rsid w:val="5AFA42E0"/>
    <w:rsid w:val="5AFE5C3F"/>
    <w:rsid w:val="5AFF4835"/>
    <w:rsid w:val="5B000850"/>
    <w:rsid w:val="5B0C6EB5"/>
    <w:rsid w:val="5B10566E"/>
    <w:rsid w:val="5B130B5A"/>
    <w:rsid w:val="5B152C30"/>
    <w:rsid w:val="5B187495"/>
    <w:rsid w:val="5B1945A0"/>
    <w:rsid w:val="5B1A2A0F"/>
    <w:rsid w:val="5B1B10FA"/>
    <w:rsid w:val="5B1B5003"/>
    <w:rsid w:val="5B1F3934"/>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F4E87"/>
    <w:rsid w:val="5BB214B7"/>
    <w:rsid w:val="5BB424C4"/>
    <w:rsid w:val="5BB576AD"/>
    <w:rsid w:val="5BB6242D"/>
    <w:rsid w:val="5BB76EBD"/>
    <w:rsid w:val="5BBE6EBD"/>
    <w:rsid w:val="5BC02787"/>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C51C9"/>
    <w:rsid w:val="5C8C6F77"/>
    <w:rsid w:val="5C8F19C2"/>
    <w:rsid w:val="5C9918CB"/>
    <w:rsid w:val="5C9A1694"/>
    <w:rsid w:val="5C9A6016"/>
    <w:rsid w:val="5CA33BC7"/>
    <w:rsid w:val="5CA57043"/>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D00730C"/>
    <w:rsid w:val="5D037486"/>
    <w:rsid w:val="5D072BC8"/>
    <w:rsid w:val="5D07484F"/>
    <w:rsid w:val="5D076525"/>
    <w:rsid w:val="5D0A3A75"/>
    <w:rsid w:val="5D0C1CFA"/>
    <w:rsid w:val="5D1217C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36A9B"/>
    <w:rsid w:val="5EA42C37"/>
    <w:rsid w:val="5EA44A4C"/>
    <w:rsid w:val="5EA50BC4"/>
    <w:rsid w:val="5EA648E2"/>
    <w:rsid w:val="5EA71C01"/>
    <w:rsid w:val="5EA92062"/>
    <w:rsid w:val="5EAA5347"/>
    <w:rsid w:val="5EB24CFE"/>
    <w:rsid w:val="5EB32415"/>
    <w:rsid w:val="5EB52E6F"/>
    <w:rsid w:val="5EB62D5A"/>
    <w:rsid w:val="5EC0115A"/>
    <w:rsid w:val="5EC21376"/>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7741E"/>
    <w:rsid w:val="5F1B04DA"/>
    <w:rsid w:val="5F1B27DE"/>
    <w:rsid w:val="5F243C26"/>
    <w:rsid w:val="5F2B4891"/>
    <w:rsid w:val="5F2C64A1"/>
    <w:rsid w:val="5F2F41B6"/>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7202DD"/>
    <w:rsid w:val="5F743BFA"/>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A20F6"/>
    <w:rsid w:val="604A2A0B"/>
    <w:rsid w:val="604C5236"/>
    <w:rsid w:val="604D329C"/>
    <w:rsid w:val="605006BC"/>
    <w:rsid w:val="6052563D"/>
    <w:rsid w:val="60584E5C"/>
    <w:rsid w:val="606162D0"/>
    <w:rsid w:val="60655F45"/>
    <w:rsid w:val="60674769"/>
    <w:rsid w:val="606E247F"/>
    <w:rsid w:val="606F545C"/>
    <w:rsid w:val="607079E9"/>
    <w:rsid w:val="607246D5"/>
    <w:rsid w:val="60734371"/>
    <w:rsid w:val="60764187"/>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7E78"/>
    <w:rsid w:val="60DB0800"/>
    <w:rsid w:val="60DE0DB6"/>
    <w:rsid w:val="60E25F60"/>
    <w:rsid w:val="60E27AAD"/>
    <w:rsid w:val="60E506DB"/>
    <w:rsid w:val="60E50AB6"/>
    <w:rsid w:val="60E54273"/>
    <w:rsid w:val="60E62D95"/>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1FF01EB"/>
    <w:rsid w:val="62035F2D"/>
    <w:rsid w:val="620B2B74"/>
    <w:rsid w:val="620F042E"/>
    <w:rsid w:val="6210415F"/>
    <w:rsid w:val="62185165"/>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C37511"/>
    <w:rsid w:val="62C5286D"/>
    <w:rsid w:val="62C666F6"/>
    <w:rsid w:val="62C92509"/>
    <w:rsid w:val="62CB49A1"/>
    <w:rsid w:val="62D11C3F"/>
    <w:rsid w:val="62D35D1C"/>
    <w:rsid w:val="62D67D61"/>
    <w:rsid w:val="62D777AF"/>
    <w:rsid w:val="62E157FC"/>
    <w:rsid w:val="62E2079F"/>
    <w:rsid w:val="62E36B0F"/>
    <w:rsid w:val="62E81148"/>
    <w:rsid w:val="62E83A0D"/>
    <w:rsid w:val="62F642E4"/>
    <w:rsid w:val="62F76986"/>
    <w:rsid w:val="62FA3D7F"/>
    <w:rsid w:val="62FF21FD"/>
    <w:rsid w:val="63074CE8"/>
    <w:rsid w:val="6309501A"/>
    <w:rsid w:val="631138B2"/>
    <w:rsid w:val="631360BB"/>
    <w:rsid w:val="63195F7A"/>
    <w:rsid w:val="631C3A36"/>
    <w:rsid w:val="631E4A40"/>
    <w:rsid w:val="63212420"/>
    <w:rsid w:val="63214DAF"/>
    <w:rsid w:val="632528E5"/>
    <w:rsid w:val="632548A2"/>
    <w:rsid w:val="632936A9"/>
    <w:rsid w:val="632D6DAA"/>
    <w:rsid w:val="632E0749"/>
    <w:rsid w:val="632F06D8"/>
    <w:rsid w:val="63311536"/>
    <w:rsid w:val="63317698"/>
    <w:rsid w:val="63340EAE"/>
    <w:rsid w:val="633B719E"/>
    <w:rsid w:val="63403F5C"/>
    <w:rsid w:val="634331FC"/>
    <w:rsid w:val="63443DC2"/>
    <w:rsid w:val="634467FD"/>
    <w:rsid w:val="634A36E8"/>
    <w:rsid w:val="634B6A95"/>
    <w:rsid w:val="634E16B7"/>
    <w:rsid w:val="634F6CB9"/>
    <w:rsid w:val="63555A9A"/>
    <w:rsid w:val="63584B3D"/>
    <w:rsid w:val="635E6984"/>
    <w:rsid w:val="635F50A8"/>
    <w:rsid w:val="63615D3E"/>
    <w:rsid w:val="636613BA"/>
    <w:rsid w:val="6367139B"/>
    <w:rsid w:val="63683422"/>
    <w:rsid w:val="636C62BA"/>
    <w:rsid w:val="63710BA6"/>
    <w:rsid w:val="63722A9B"/>
    <w:rsid w:val="637346BC"/>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61D0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37E39"/>
    <w:rsid w:val="64D81CB8"/>
    <w:rsid w:val="64D93F02"/>
    <w:rsid w:val="64DE67DD"/>
    <w:rsid w:val="64DF1E48"/>
    <w:rsid w:val="64E52880"/>
    <w:rsid w:val="64E5543E"/>
    <w:rsid w:val="64E657EB"/>
    <w:rsid w:val="64E76F6D"/>
    <w:rsid w:val="64EA4517"/>
    <w:rsid w:val="64FC561C"/>
    <w:rsid w:val="64FC687A"/>
    <w:rsid w:val="64FE0E31"/>
    <w:rsid w:val="650E766F"/>
    <w:rsid w:val="650F5743"/>
    <w:rsid w:val="65181463"/>
    <w:rsid w:val="651A5C6A"/>
    <w:rsid w:val="651C38DB"/>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7957"/>
    <w:rsid w:val="65430291"/>
    <w:rsid w:val="654468BF"/>
    <w:rsid w:val="65485D1B"/>
    <w:rsid w:val="654B3E73"/>
    <w:rsid w:val="654D64C6"/>
    <w:rsid w:val="654E5FD1"/>
    <w:rsid w:val="65503BB9"/>
    <w:rsid w:val="65516FAF"/>
    <w:rsid w:val="655754CB"/>
    <w:rsid w:val="655C29BA"/>
    <w:rsid w:val="655E2D72"/>
    <w:rsid w:val="656171FC"/>
    <w:rsid w:val="65635CAF"/>
    <w:rsid w:val="65636611"/>
    <w:rsid w:val="656E4951"/>
    <w:rsid w:val="656F1A01"/>
    <w:rsid w:val="65705EF9"/>
    <w:rsid w:val="6570700F"/>
    <w:rsid w:val="6574303E"/>
    <w:rsid w:val="65752C9E"/>
    <w:rsid w:val="65755F0A"/>
    <w:rsid w:val="657F0CE6"/>
    <w:rsid w:val="65801267"/>
    <w:rsid w:val="65833C4F"/>
    <w:rsid w:val="658B37B6"/>
    <w:rsid w:val="6590595E"/>
    <w:rsid w:val="65955D9F"/>
    <w:rsid w:val="65956477"/>
    <w:rsid w:val="65972789"/>
    <w:rsid w:val="659C17EE"/>
    <w:rsid w:val="65A65E7D"/>
    <w:rsid w:val="65A90B99"/>
    <w:rsid w:val="65AA2B3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D2EA4"/>
    <w:rsid w:val="662F2BB7"/>
    <w:rsid w:val="6631571B"/>
    <w:rsid w:val="663761A5"/>
    <w:rsid w:val="663D054E"/>
    <w:rsid w:val="66460692"/>
    <w:rsid w:val="66560D21"/>
    <w:rsid w:val="6658158E"/>
    <w:rsid w:val="66613222"/>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E7FD2"/>
    <w:rsid w:val="66A27600"/>
    <w:rsid w:val="66A56CDB"/>
    <w:rsid w:val="66AC1D02"/>
    <w:rsid w:val="66AD65FC"/>
    <w:rsid w:val="66AD7F89"/>
    <w:rsid w:val="66AE57BC"/>
    <w:rsid w:val="66B5531C"/>
    <w:rsid w:val="66B81454"/>
    <w:rsid w:val="66B94047"/>
    <w:rsid w:val="66B96652"/>
    <w:rsid w:val="66BE1292"/>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8655A"/>
    <w:rsid w:val="676D4252"/>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C1536"/>
    <w:rsid w:val="691D4548"/>
    <w:rsid w:val="69270753"/>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56475"/>
    <w:rsid w:val="6ACA3A8C"/>
    <w:rsid w:val="6ACA4A7D"/>
    <w:rsid w:val="6ACF48E4"/>
    <w:rsid w:val="6AD20C96"/>
    <w:rsid w:val="6AD84FD7"/>
    <w:rsid w:val="6AD902D6"/>
    <w:rsid w:val="6AD909E0"/>
    <w:rsid w:val="6ADC49EF"/>
    <w:rsid w:val="6ADD4FD8"/>
    <w:rsid w:val="6ADD71F3"/>
    <w:rsid w:val="6AE16007"/>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40620"/>
    <w:rsid w:val="6B0A3D9B"/>
    <w:rsid w:val="6B0C1AF2"/>
    <w:rsid w:val="6B0E002C"/>
    <w:rsid w:val="6B112A65"/>
    <w:rsid w:val="6B1765A5"/>
    <w:rsid w:val="6B1E05E1"/>
    <w:rsid w:val="6B2036AC"/>
    <w:rsid w:val="6B203D7B"/>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F63FD"/>
    <w:rsid w:val="6C1407B4"/>
    <w:rsid w:val="6C140ED8"/>
    <w:rsid w:val="6C150C0B"/>
    <w:rsid w:val="6C155F31"/>
    <w:rsid w:val="6C206E21"/>
    <w:rsid w:val="6C223454"/>
    <w:rsid w:val="6C263A06"/>
    <w:rsid w:val="6C265F77"/>
    <w:rsid w:val="6C2E74BC"/>
    <w:rsid w:val="6C32785B"/>
    <w:rsid w:val="6C3A624E"/>
    <w:rsid w:val="6C3F4795"/>
    <w:rsid w:val="6C431738"/>
    <w:rsid w:val="6C442E2D"/>
    <w:rsid w:val="6C491F2C"/>
    <w:rsid w:val="6C4B106D"/>
    <w:rsid w:val="6C4F0933"/>
    <w:rsid w:val="6C505966"/>
    <w:rsid w:val="6C521745"/>
    <w:rsid w:val="6C5D04BB"/>
    <w:rsid w:val="6C5E37B1"/>
    <w:rsid w:val="6C5E5AA5"/>
    <w:rsid w:val="6C624A50"/>
    <w:rsid w:val="6C65329A"/>
    <w:rsid w:val="6C666C3C"/>
    <w:rsid w:val="6C680AF7"/>
    <w:rsid w:val="6C6833E1"/>
    <w:rsid w:val="6C726F5A"/>
    <w:rsid w:val="6C747389"/>
    <w:rsid w:val="6C751A38"/>
    <w:rsid w:val="6C7707E9"/>
    <w:rsid w:val="6C7A7069"/>
    <w:rsid w:val="6C882F2E"/>
    <w:rsid w:val="6C8E4315"/>
    <w:rsid w:val="6C92360B"/>
    <w:rsid w:val="6C9360FF"/>
    <w:rsid w:val="6C954AE8"/>
    <w:rsid w:val="6C95615F"/>
    <w:rsid w:val="6C996482"/>
    <w:rsid w:val="6CA94419"/>
    <w:rsid w:val="6CAB51F7"/>
    <w:rsid w:val="6CB242A2"/>
    <w:rsid w:val="6CB542C8"/>
    <w:rsid w:val="6CB92EE5"/>
    <w:rsid w:val="6CBB719C"/>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01573"/>
    <w:rsid w:val="6E035B81"/>
    <w:rsid w:val="6E0F0D37"/>
    <w:rsid w:val="6E0F320E"/>
    <w:rsid w:val="6E1058C0"/>
    <w:rsid w:val="6E112785"/>
    <w:rsid w:val="6E114B44"/>
    <w:rsid w:val="6E131686"/>
    <w:rsid w:val="6E163C98"/>
    <w:rsid w:val="6E1B4CD0"/>
    <w:rsid w:val="6E1C2489"/>
    <w:rsid w:val="6E1D776A"/>
    <w:rsid w:val="6E225993"/>
    <w:rsid w:val="6E2A0DD8"/>
    <w:rsid w:val="6E301E58"/>
    <w:rsid w:val="6E3552B0"/>
    <w:rsid w:val="6E35742E"/>
    <w:rsid w:val="6E376A3A"/>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939F2"/>
    <w:rsid w:val="6EE964AB"/>
    <w:rsid w:val="6EF22C5A"/>
    <w:rsid w:val="6F021829"/>
    <w:rsid w:val="6F08724A"/>
    <w:rsid w:val="6F14289F"/>
    <w:rsid w:val="6F153E64"/>
    <w:rsid w:val="6F162C84"/>
    <w:rsid w:val="6F1C7C44"/>
    <w:rsid w:val="6F263789"/>
    <w:rsid w:val="6F28474F"/>
    <w:rsid w:val="6F2B0871"/>
    <w:rsid w:val="6F340726"/>
    <w:rsid w:val="6F350882"/>
    <w:rsid w:val="6F35635E"/>
    <w:rsid w:val="6F3713E9"/>
    <w:rsid w:val="6F384951"/>
    <w:rsid w:val="6F3A3F4C"/>
    <w:rsid w:val="6F42595D"/>
    <w:rsid w:val="6F433E0D"/>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67ACA"/>
    <w:rsid w:val="6F9A4660"/>
    <w:rsid w:val="6F9C5D71"/>
    <w:rsid w:val="6F9D5557"/>
    <w:rsid w:val="6F9E7295"/>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53444"/>
    <w:rsid w:val="6FE56C72"/>
    <w:rsid w:val="6FE76FE3"/>
    <w:rsid w:val="6FEE1369"/>
    <w:rsid w:val="6FF1528E"/>
    <w:rsid w:val="6FF561D1"/>
    <w:rsid w:val="6FF670D1"/>
    <w:rsid w:val="6FFE1AE2"/>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3F45D4"/>
    <w:rsid w:val="70423736"/>
    <w:rsid w:val="70494AF1"/>
    <w:rsid w:val="70495453"/>
    <w:rsid w:val="704A6916"/>
    <w:rsid w:val="7054528E"/>
    <w:rsid w:val="70545BA6"/>
    <w:rsid w:val="70555B90"/>
    <w:rsid w:val="70560F05"/>
    <w:rsid w:val="705B0CE2"/>
    <w:rsid w:val="705E76BE"/>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E52721"/>
    <w:rsid w:val="70F04773"/>
    <w:rsid w:val="70F147D7"/>
    <w:rsid w:val="70F324E3"/>
    <w:rsid w:val="71017D80"/>
    <w:rsid w:val="71031632"/>
    <w:rsid w:val="710500EE"/>
    <w:rsid w:val="710524E2"/>
    <w:rsid w:val="710B03C6"/>
    <w:rsid w:val="710C1678"/>
    <w:rsid w:val="710E4583"/>
    <w:rsid w:val="710F2DDC"/>
    <w:rsid w:val="71131A08"/>
    <w:rsid w:val="711572DD"/>
    <w:rsid w:val="711604AB"/>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824CCC"/>
    <w:rsid w:val="71824DC7"/>
    <w:rsid w:val="7183292B"/>
    <w:rsid w:val="71890883"/>
    <w:rsid w:val="718B3A9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2174E"/>
    <w:rsid w:val="71F26295"/>
    <w:rsid w:val="71F64447"/>
    <w:rsid w:val="71F94C57"/>
    <w:rsid w:val="71FB452B"/>
    <w:rsid w:val="71FC70DF"/>
    <w:rsid w:val="72001B4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E22E8E"/>
    <w:rsid w:val="72E70D52"/>
    <w:rsid w:val="72EA6B66"/>
    <w:rsid w:val="72F17162"/>
    <w:rsid w:val="72F32F32"/>
    <w:rsid w:val="72FB32E0"/>
    <w:rsid w:val="72FB39EE"/>
    <w:rsid w:val="72FB43E8"/>
    <w:rsid w:val="72FC1A3D"/>
    <w:rsid w:val="730235EB"/>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AD7AA7"/>
    <w:rsid w:val="73B001E3"/>
    <w:rsid w:val="73B1400F"/>
    <w:rsid w:val="73B4611E"/>
    <w:rsid w:val="73B7366A"/>
    <w:rsid w:val="73BA064C"/>
    <w:rsid w:val="73BB3C6E"/>
    <w:rsid w:val="73BE5AE3"/>
    <w:rsid w:val="73C7137D"/>
    <w:rsid w:val="73CE1997"/>
    <w:rsid w:val="73D260A7"/>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307C8B"/>
    <w:rsid w:val="74454183"/>
    <w:rsid w:val="74460F0E"/>
    <w:rsid w:val="744642D9"/>
    <w:rsid w:val="74522D94"/>
    <w:rsid w:val="74535DF8"/>
    <w:rsid w:val="74634609"/>
    <w:rsid w:val="7467225C"/>
    <w:rsid w:val="746B086B"/>
    <w:rsid w:val="746B2FD5"/>
    <w:rsid w:val="746C430C"/>
    <w:rsid w:val="746D6628"/>
    <w:rsid w:val="74712155"/>
    <w:rsid w:val="747131CA"/>
    <w:rsid w:val="74775754"/>
    <w:rsid w:val="74782A8C"/>
    <w:rsid w:val="747C7F5F"/>
    <w:rsid w:val="747F0E23"/>
    <w:rsid w:val="7490285F"/>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4684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53BC6"/>
    <w:rsid w:val="75A60C51"/>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B4314"/>
    <w:rsid w:val="76A53B61"/>
    <w:rsid w:val="76A56649"/>
    <w:rsid w:val="76A56898"/>
    <w:rsid w:val="76A652D8"/>
    <w:rsid w:val="76A81E8A"/>
    <w:rsid w:val="76AF378A"/>
    <w:rsid w:val="76B153BA"/>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9E42D6"/>
    <w:rsid w:val="77A2719E"/>
    <w:rsid w:val="77A31525"/>
    <w:rsid w:val="77A47BCA"/>
    <w:rsid w:val="77A7502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E19D2"/>
    <w:rsid w:val="77EF4577"/>
    <w:rsid w:val="77EF6453"/>
    <w:rsid w:val="77F2017E"/>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45D77"/>
    <w:rsid w:val="782466AD"/>
    <w:rsid w:val="782A738E"/>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D1993"/>
    <w:rsid w:val="785D6A7A"/>
    <w:rsid w:val="785D73A1"/>
    <w:rsid w:val="785E356A"/>
    <w:rsid w:val="78620E7C"/>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773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36276"/>
    <w:rsid w:val="79C57617"/>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7806"/>
    <w:rsid w:val="7A1E34AC"/>
    <w:rsid w:val="7A200921"/>
    <w:rsid w:val="7A202934"/>
    <w:rsid w:val="7A245751"/>
    <w:rsid w:val="7A262C2D"/>
    <w:rsid w:val="7A291938"/>
    <w:rsid w:val="7A2F59AF"/>
    <w:rsid w:val="7A303F52"/>
    <w:rsid w:val="7A320D06"/>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792E"/>
    <w:rsid w:val="7C172B36"/>
    <w:rsid w:val="7C1C7EBF"/>
    <w:rsid w:val="7C1F350C"/>
    <w:rsid w:val="7C206952"/>
    <w:rsid w:val="7C2D1C60"/>
    <w:rsid w:val="7C306953"/>
    <w:rsid w:val="7C3832F5"/>
    <w:rsid w:val="7C394D1F"/>
    <w:rsid w:val="7C3C2310"/>
    <w:rsid w:val="7C42281E"/>
    <w:rsid w:val="7C472DAB"/>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27E92"/>
    <w:rsid w:val="7CC84384"/>
    <w:rsid w:val="7CCA5583"/>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F411B"/>
    <w:rsid w:val="7E104623"/>
    <w:rsid w:val="7E12157A"/>
    <w:rsid w:val="7E1C2AAE"/>
    <w:rsid w:val="7E1C55F3"/>
    <w:rsid w:val="7E1F3C97"/>
    <w:rsid w:val="7E202566"/>
    <w:rsid w:val="7E222965"/>
    <w:rsid w:val="7E293001"/>
    <w:rsid w:val="7E2D6A9A"/>
    <w:rsid w:val="7E2E7D3F"/>
    <w:rsid w:val="7E2F1D57"/>
    <w:rsid w:val="7E3239CA"/>
    <w:rsid w:val="7E330B2F"/>
    <w:rsid w:val="7E347694"/>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B0C8A"/>
    <w:rsid w:val="7E7062A0"/>
    <w:rsid w:val="7E712F31"/>
    <w:rsid w:val="7E73403B"/>
    <w:rsid w:val="7E750E81"/>
    <w:rsid w:val="7E760C9A"/>
    <w:rsid w:val="7E761EFC"/>
    <w:rsid w:val="7E79060D"/>
    <w:rsid w:val="7E7933A7"/>
    <w:rsid w:val="7E7E2B41"/>
    <w:rsid w:val="7E8D3E75"/>
    <w:rsid w:val="7E8F4979"/>
    <w:rsid w:val="7E9044A6"/>
    <w:rsid w:val="7E922E52"/>
    <w:rsid w:val="7E977CD1"/>
    <w:rsid w:val="7EA10518"/>
    <w:rsid w:val="7EA37537"/>
    <w:rsid w:val="7EA8533A"/>
    <w:rsid w:val="7EA87297"/>
    <w:rsid w:val="7EAE1E9B"/>
    <w:rsid w:val="7EB56059"/>
    <w:rsid w:val="7EB73383"/>
    <w:rsid w:val="7EBB7599"/>
    <w:rsid w:val="7EBD506F"/>
    <w:rsid w:val="7EC22792"/>
    <w:rsid w:val="7EC23404"/>
    <w:rsid w:val="7EC369B6"/>
    <w:rsid w:val="7EC57DB4"/>
    <w:rsid w:val="7ED55364"/>
    <w:rsid w:val="7ED61FF8"/>
    <w:rsid w:val="7ED766B7"/>
    <w:rsid w:val="7EDE52DA"/>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1C3DA0"/>
    <w:rsid w:val="7F233313"/>
    <w:rsid w:val="7F233D48"/>
    <w:rsid w:val="7F2618F3"/>
    <w:rsid w:val="7F28323E"/>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403DB"/>
    <w:rsid w:val="7F863357"/>
    <w:rsid w:val="7F8660CD"/>
    <w:rsid w:val="7F8813C8"/>
    <w:rsid w:val="7F8A2E2C"/>
    <w:rsid w:val="7F8D1710"/>
    <w:rsid w:val="7F8D20F5"/>
    <w:rsid w:val="7F910968"/>
    <w:rsid w:val="7F963419"/>
    <w:rsid w:val="7F98528E"/>
    <w:rsid w:val="7FA069EC"/>
    <w:rsid w:val="7FB351E6"/>
    <w:rsid w:val="7FB422D4"/>
    <w:rsid w:val="7FB80F18"/>
    <w:rsid w:val="7FBC5447"/>
    <w:rsid w:val="7FBF3D9A"/>
    <w:rsid w:val="7FC23FE8"/>
    <w:rsid w:val="7FD277AE"/>
    <w:rsid w:val="7FD53BF4"/>
    <w:rsid w:val="7FDA2CD0"/>
    <w:rsid w:val="7FDB769F"/>
    <w:rsid w:val="7FE60FE4"/>
    <w:rsid w:val="7FEC3961"/>
    <w:rsid w:val="7FEC7AE0"/>
    <w:rsid w:val="7FEE568F"/>
    <w:rsid w:val="7FEF3E84"/>
    <w:rsid w:val="7FF10D9A"/>
    <w:rsid w:val="7FF613E1"/>
    <w:rsid w:val="7FF908EE"/>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w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672</Words>
  <Characters>3621</Characters>
  <Lines>82</Lines>
  <Paragraphs>23</Paragraphs>
  <TotalTime>3</TotalTime>
  <ScaleCrop>false</ScaleCrop>
  <LinksUpToDate>false</LinksUpToDate>
  <CharactersWithSpaces>4312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2025-10-03T15:08:03Z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